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FF" w:rsidRPr="00D67FD2" w:rsidRDefault="00F357FF" w:rsidP="00F357FF">
      <w:pPr>
        <w:pStyle w:val="1"/>
        <w:numPr>
          <w:ilvl w:val="0"/>
          <w:numId w:val="0"/>
        </w:numPr>
        <w:ind w:left="360"/>
        <w:rPr>
          <w:rFonts w:eastAsia="Arial Unicode MS" w:cs="Arial"/>
          <w:lang w:val="ru-RU"/>
        </w:rPr>
      </w:pPr>
      <w:bookmarkStart w:id="0" w:name="_Toc320696532"/>
      <w:r w:rsidRPr="00D67FD2">
        <w:rPr>
          <w:rFonts w:eastAsia="Arial Unicode MS" w:cs="Arial"/>
          <w:lang w:val="ru-RU"/>
        </w:rPr>
        <w:t>Сделки между связанными сторонами</w:t>
      </w:r>
      <w:bookmarkEnd w:id="0"/>
    </w:p>
    <w:p w:rsidR="00F357FF" w:rsidRPr="00D67FD2" w:rsidRDefault="00F357FF" w:rsidP="00F357FF">
      <w:pPr>
        <w:pStyle w:val="ABC-paragrahinNotes"/>
        <w:rPr>
          <w:rFonts w:ascii="Arial" w:hAnsi="Arial" w:cs="Arial"/>
          <w:sz w:val="18"/>
          <w:szCs w:val="18"/>
          <w:lang w:val="ru-RU"/>
        </w:rPr>
      </w:pPr>
      <w:r w:rsidRPr="00D67FD2">
        <w:rPr>
          <w:rFonts w:ascii="Arial" w:hAnsi="Arial" w:cs="Arial"/>
          <w:sz w:val="18"/>
          <w:szCs w:val="18"/>
          <w:lang w:val="ru-RU"/>
        </w:rPr>
        <w:t>Стороны считаются связанными, если они находятся под общим контролем, или одна из них имеет возможность контролировать другую, или может оказывать существенное влияние при принятии другой стороной финансовых и операционных решений. При рассмотрении взаимоотношений со всеми связанными сторонами принимается во внимание экономическое содержание таких взаимоотношений, а не только их юридическая форма</w:t>
      </w:r>
    </w:p>
    <w:p w:rsidR="00F357FF" w:rsidRPr="00E345E3" w:rsidRDefault="00F357FF" w:rsidP="00F357FF">
      <w:pPr>
        <w:spacing w:before="240" w:after="240"/>
        <w:jc w:val="both"/>
        <w:rPr>
          <w:rFonts w:cs="Arial"/>
          <w:i/>
          <w:szCs w:val="18"/>
          <w:lang w:val="ru-RU"/>
        </w:rPr>
      </w:pPr>
      <w:r w:rsidRPr="00D67FD2">
        <w:rPr>
          <w:rFonts w:cs="Arial"/>
          <w:szCs w:val="18"/>
          <w:lang w:val="ru-RU"/>
        </w:rPr>
        <w:t xml:space="preserve">Ниже указаны остатки на 31 </w:t>
      </w:r>
      <w:r w:rsidRPr="00D67FD2">
        <w:rPr>
          <w:rFonts w:cs="Arial"/>
          <w:szCs w:val="18"/>
          <w:lang w:val="ru-RU"/>
        </w:rPr>
        <w:t>марта</w:t>
      </w:r>
      <w:r w:rsidRPr="00D67FD2">
        <w:rPr>
          <w:rFonts w:cs="Arial"/>
          <w:szCs w:val="18"/>
          <w:lang w:val="ru-RU"/>
        </w:rPr>
        <w:t xml:space="preserve"> 201</w:t>
      </w:r>
      <w:r w:rsidRPr="00D67FD2">
        <w:rPr>
          <w:rFonts w:cs="Arial"/>
          <w:szCs w:val="18"/>
          <w:lang w:val="ru-RU"/>
        </w:rPr>
        <w:t>2</w:t>
      </w:r>
      <w:r w:rsidRPr="00D67FD2">
        <w:rPr>
          <w:rFonts w:cs="Arial"/>
          <w:szCs w:val="18"/>
          <w:lang w:val="ru-RU"/>
        </w:rPr>
        <w:t xml:space="preserve"> года по операциям со связанными сторонами:</w:t>
      </w:r>
    </w:p>
    <w:tbl>
      <w:tblPr>
        <w:tblW w:w="92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720"/>
        <w:gridCol w:w="1418"/>
        <w:gridCol w:w="1507"/>
        <w:gridCol w:w="1275"/>
        <w:gridCol w:w="1330"/>
      </w:tblGrid>
      <w:tr w:rsidR="00F357FF" w:rsidRPr="00E345E3" w:rsidTr="001049C8">
        <w:trPr>
          <w:tblHeader/>
        </w:trPr>
        <w:tc>
          <w:tcPr>
            <w:tcW w:w="3720" w:type="dxa"/>
            <w:tcBorders>
              <w:bottom w:val="single" w:sz="6" w:space="0" w:color="auto"/>
            </w:tcBorders>
            <w:vAlign w:val="bottom"/>
          </w:tcPr>
          <w:p w:rsidR="00F357FF" w:rsidRPr="00E345E3" w:rsidRDefault="00F357FF" w:rsidP="001049C8">
            <w:pPr>
              <w:pStyle w:val="RRthousands"/>
              <w:keepNext/>
              <w:rPr>
                <w:sz w:val="16"/>
                <w:szCs w:val="18"/>
                <w:lang w:val="ru-RU"/>
              </w:rPr>
            </w:pPr>
            <w:r w:rsidRPr="00E345E3">
              <w:rPr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357FF" w:rsidRPr="00E345E3" w:rsidRDefault="00F357FF" w:rsidP="001049C8">
            <w:pPr>
              <w:pStyle w:val="Columnheader"/>
              <w:tabs>
                <w:tab w:val="clear" w:pos="1503"/>
              </w:tabs>
              <w:spacing w:line="240" w:lineRule="auto"/>
              <w:ind w:right="42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Материнская компания</w:t>
            </w: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:rsidR="00F357FF" w:rsidRPr="00E345E3" w:rsidRDefault="00F357FF" w:rsidP="001049C8">
            <w:pPr>
              <w:pStyle w:val="Columnheader"/>
              <w:tabs>
                <w:tab w:val="clear" w:pos="1503"/>
              </w:tabs>
              <w:spacing w:line="240" w:lineRule="auto"/>
              <w:ind w:right="19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357FF" w:rsidRPr="00E345E3" w:rsidRDefault="00F357FF" w:rsidP="001049C8">
            <w:pPr>
              <w:pStyle w:val="Columnheader"/>
              <w:tabs>
                <w:tab w:val="clear" w:pos="1503"/>
              </w:tabs>
              <w:spacing w:line="240" w:lineRule="auto"/>
              <w:ind w:right="0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Ассоциированные компании</w:t>
            </w:r>
          </w:p>
        </w:tc>
        <w:tc>
          <w:tcPr>
            <w:tcW w:w="1330" w:type="dxa"/>
            <w:tcBorders>
              <w:bottom w:val="single" w:sz="6" w:space="0" w:color="auto"/>
            </w:tcBorders>
          </w:tcPr>
          <w:p w:rsidR="00F357FF" w:rsidRPr="00E345E3" w:rsidRDefault="00F357FF" w:rsidP="001049C8">
            <w:pPr>
              <w:pStyle w:val="Columnheader"/>
              <w:tabs>
                <w:tab w:val="clear" w:pos="1503"/>
              </w:tabs>
              <w:spacing w:line="240" w:lineRule="auto"/>
              <w:ind w:right="104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Прочие связанные стороны</w:t>
            </w:r>
          </w:p>
        </w:tc>
      </w:tr>
      <w:tr w:rsidR="00F357FF" w:rsidRPr="00E345E3" w:rsidTr="001049C8">
        <w:tc>
          <w:tcPr>
            <w:tcW w:w="3720" w:type="dxa"/>
            <w:tcBorders>
              <w:top w:val="single" w:sz="6" w:space="0" w:color="auto"/>
            </w:tcBorders>
            <w:vAlign w:val="bottom"/>
          </w:tcPr>
          <w:p w:rsidR="00F357FF" w:rsidRPr="00E345E3" w:rsidRDefault="00F357FF" w:rsidP="001049C8">
            <w:pPr>
              <w:keepNext/>
              <w:keepLines/>
              <w:ind w:left="228" w:hanging="2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single" w:sz="6" w:space="0" w:color="auto"/>
            </w:tcBorders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30" w:type="dxa"/>
            <w:tcBorders>
              <w:top w:val="single" w:sz="6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</w:tr>
      <w:tr w:rsidR="00F357FF" w:rsidRPr="00E345E3" w:rsidTr="001049C8">
        <w:tc>
          <w:tcPr>
            <w:tcW w:w="3720" w:type="dxa"/>
            <w:vAlign w:val="bottom"/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 xml:space="preserve">Ценные бумаги, оцениваемые по справедливой стоимости через прибыль или убыток </w:t>
            </w:r>
          </w:p>
        </w:tc>
        <w:tc>
          <w:tcPr>
            <w:tcW w:w="141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26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07" w:type="dxa"/>
            <w:vAlign w:val="bottom"/>
          </w:tcPr>
          <w:p w:rsidR="00F357FF" w:rsidRPr="00E345E3" w:rsidRDefault="00F357FF" w:rsidP="00F357FF">
            <w:pPr>
              <w:pStyle w:val="Tablenumbers1"/>
              <w:tabs>
                <w:tab w:val="clear" w:pos="1503"/>
                <w:tab w:val="decimal" w:pos="1376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 xml:space="preserve"> 1,90</w:t>
            </w:r>
            <w:r>
              <w:rPr>
                <w:rFonts w:cs="Arial"/>
                <w:szCs w:val="18"/>
                <w:lang w:val="ru-RU"/>
              </w:rPr>
              <w:t>3</w:t>
            </w:r>
            <w:r w:rsidRPr="00E345E3">
              <w:rPr>
                <w:rFonts w:cs="Arial"/>
                <w:szCs w:val="18"/>
                <w:lang w:val="ru-RU"/>
              </w:rPr>
              <w:t>,</w:t>
            </w:r>
            <w:r>
              <w:rPr>
                <w:rFonts w:cs="Arial"/>
                <w:szCs w:val="18"/>
                <w:lang w:val="ru-RU"/>
              </w:rPr>
              <w:t>824</w:t>
            </w:r>
          </w:p>
        </w:tc>
        <w:tc>
          <w:tcPr>
            <w:tcW w:w="1275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29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330" w:type="dxa"/>
            <w:vAlign w:val="bottom"/>
          </w:tcPr>
          <w:p w:rsidR="00F357FF" w:rsidRPr="00E345E3" w:rsidRDefault="00F357FF" w:rsidP="00F357FF">
            <w:pPr>
              <w:pStyle w:val="Tablenumbers1"/>
              <w:tabs>
                <w:tab w:val="clear" w:pos="1503"/>
                <w:tab w:val="decimal" w:pos="111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 xml:space="preserve"> 3,</w:t>
            </w:r>
            <w:r>
              <w:rPr>
                <w:rFonts w:cs="Arial"/>
                <w:szCs w:val="18"/>
                <w:lang w:val="ru-RU"/>
              </w:rPr>
              <w:t>811</w:t>
            </w:r>
            <w:r w:rsidRPr="00E345E3">
              <w:rPr>
                <w:rFonts w:cs="Arial"/>
                <w:szCs w:val="18"/>
                <w:lang w:val="ru-RU"/>
              </w:rPr>
              <w:t>,</w:t>
            </w:r>
            <w:r>
              <w:rPr>
                <w:rFonts w:cs="Arial"/>
                <w:szCs w:val="18"/>
                <w:lang w:val="ru-RU"/>
              </w:rPr>
              <w:t>757</w:t>
            </w:r>
          </w:p>
        </w:tc>
      </w:tr>
      <w:tr w:rsidR="00F357FF" w:rsidRPr="00E345E3" w:rsidTr="001049C8">
        <w:tc>
          <w:tcPr>
            <w:tcW w:w="3720" w:type="dxa"/>
            <w:vAlign w:val="bottom"/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 xml:space="preserve">Средства в финансовых учреждениях </w:t>
            </w:r>
          </w:p>
        </w:tc>
        <w:tc>
          <w:tcPr>
            <w:tcW w:w="141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26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07" w:type="dxa"/>
            <w:vAlign w:val="bottom"/>
          </w:tcPr>
          <w:p w:rsidR="00F357FF" w:rsidRPr="00E345E3" w:rsidRDefault="00F357FF" w:rsidP="00F357FF">
            <w:pPr>
              <w:pStyle w:val="Tablenumbers1"/>
              <w:tabs>
                <w:tab w:val="clear" w:pos="1503"/>
                <w:tab w:val="decimal" w:pos="1376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75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29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330" w:type="dxa"/>
            <w:vAlign w:val="bottom"/>
          </w:tcPr>
          <w:p w:rsidR="00F357FF" w:rsidRPr="00E345E3" w:rsidRDefault="00F357FF" w:rsidP="00D67FD2">
            <w:pPr>
              <w:pStyle w:val="Tablenumbers1"/>
              <w:tabs>
                <w:tab w:val="clear" w:pos="1503"/>
                <w:tab w:val="decimal" w:pos="111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 xml:space="preserve"> </w:t>
            </w:r>
            <w:r w:rsidR="00D67FD2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F357FF" w:rsidRPr="00E345E3" w:rsidTr="001049C8">
        <w:tc>
          <w:tcPr>
            <w:tcW w:w="3720" w:type="dxa"/>
            <w:vAlign w:val="bottom"/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Инвестиционные ценные бумаги, имеющиеся в наличии для продажи</w:t>
            </w:r>
          </w:p>
        </w:tc>
        <w:tc>
          <w:tcPr>
            <w:tcW w:w="141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26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07" w:type="dxa"/>
            <w:vAlign w:val="bottom"/>
          </w:tcPr>
          <w:p w:rsidR="00F357FF" w:rsidRPr="00E345E3" w:rsidRDefault="00F357FF" w:rsidP="00F357FF">
            <w:pPr>
              <w:pStyle w:val="Tablenumbers1"/>
              <w:tabs>
                <w:tab w:val="clear" w:pos="1503"/>
                <w:tab w:val="decimal" w:pos="1376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75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29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330" w:type="dxa"/>
            <w:vAlign w:val="bottom"/>
          </w:tcPr>
          <w:p w:rsidR="00F357FF" w:rsidRPr="00E345E3" w:rsidRDefault="00F357FF" w:rsidP="00F357FF">
            <w:pPr>
              <w:pStyle w:val="Tablenumbers1"/>
              <w:tabs>
                <w:tab w:val="clear" w:pos="1503"/>
                <w:tab w:val="decimal" w:pos="111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1,884,578</w:t>
            </w:r>
          </w:p>
        </w:tc>
      </w:tr>
      <w:tr w:rsidR="00F357FF" w:rsidRPr="00E345E3" w:rsidTr="001049C8">
        <w:tc>
          <w:tcPr>
            <w:tcW w:w="3720" w:type="dxa"/>
            <w:vAlign w:val="bottom"/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Инвестиции в ассоциированные компании</w:t>
            </w:r>
          </w:p>
        </w:tc>
        <w:tc>
          <w:tcPr>
            <w:tcW w:w="141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26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07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376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75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29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 xml:space="preserve"> 10,000</w:t>
            </w:r>
          </w:p>
        </w:tc>
        <w:tc>
          <w:tcPr>
            <w:tcW w:w="1330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1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F357FF" w:rsidRPr="00E345E3" w:rsidTr="001049C8">
        <w:tc>
          <w:tcPr>
            <w:tcW w:w="3720" w:type="dxa"/>
            <w:vAlign w:val="bottom"/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41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264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07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376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275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29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30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14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</w:tr>
      <w:tr w:rsidR="00F357FF" w:rsidRPr="00E345E3" w:rsidTr="001049C8">
        <w:tc>
          <w:tcPr>
            <w:tcW w:w="3720" w:type="dxa"/>
            <w:vAlign w:val="bottom"/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Заемные средства</w:t>
            </w:r>
          </w:p>
        </w:tc>
        <w:tc>
          <w:tcPr>
            <w:tcW w:w="1418" w:type="dxa"/>
            <w:vAlign w:val="bottom"/>
          </w:tcPr>
          <w:p w:rsidR="00F357FF" w:rsidRPr="00E345E3" w:rsidRDefault="00F357FF" w:rsidP="00F357FF">
            <w:pPr>
              <w:pStyle w:val="Tablenumbers1"/>
              <w:tabs>
                <w:tab w:val="clear" w:pos="1503"/>
                <w:tab w:val="decimal" w:pos="1264"/>
              </w:tabs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91,403,846</w:t>
            </w:r>
          </w:p>
        </w:tc>
        <w:tc>
          <w:tcPr>
            <w:tcW w:w="1507" w:type="dxa"/>
            <w:vAlign w:val="bottom"/>
          </w:tcPr>
          <w:p w:rsidR="00F357FF" w:rsidRPr="00E345E3" w:rsidRDefault="00F357FF" w:rsidP="00F357FF">
            <w:pPr>
              <w:pStyle w:val="Tablenumbers1"/>
              <w:tabs>
                <w:tab w:val="clear" w:pos="1503"/>
                <w:tab w:val="decimal" w:pos="1376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75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29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330" w:type="dxa"/>
            <w:vAlign w:val="bottom"/>
          </w:tcPr>
          <w:p w:rsidR="00F357FF" w:rsidRPr="00E345E3" w:rsidRDefault="00F357FF" w:rsidP="00F357FF">
            <w:pPr>
              <w:pStyle w:val="Tablenumbers1"/>
              <w:tabs>
                <w:tab w:val="clear" w:pos="1503"/>
                <w:tab w:val="decimal" w:pos="111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 xml:space="preserve"> </w:t>
            </w:r>
            <w:r>
              <w:rPr>
                <w:rFonts w:cs="Arial"/>
                <w:szCs w:val="18"/>
                <w:lang w:val="ru-RU"/>
              </w:rPr>
              <w:t>2,886,248</w:t>
            </w:r>
          </w:p>
        </w:tc>
      </w:tr>
      <w:tr w:rsidR="00F357FF" w:rsidRPr="00E345E3" w:rsidTr="001049C8">
        <w:tc>
          <w:tcPr>
            <w:tcW w:w="3720" w:type="dxa"/>
            <w:vAlign w:val="bottom"/>
          </w:tcPr>
          <w:p w:rsidR="00F357FF" w:rsidRPr="00E345E3" w:rsidRDefault="00F357FF" w:rsidP="001049C8">
            <w:pPr>
              <w:pStyle w:val="Tabletext"/>
              <w:ind w:left="124" w:hanging="124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 xml:space="preserve">Обязательства по программам субсидирования </w:t>
            </w:r>
          </w:p>
        </w:tc>
        <w:tc>
          <w:tcPr>
            <w:tcW w:w="141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26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507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376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75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29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330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14"/>
              </w:tabs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2,723,415</w:t>
            </w:r>
          </w:p>
        </w:tc>
      </w:tr>
      <w:tr w:rsidR="00F357FF" w:rsidRPr="00E345E3" w:rsidTr="001049C8">
        <w:tc>
          <w:tcPr>
            <w:tcW w:w="3720" w:type="dxa"/>
            <w:vAlign w:val="bottom"/>
          </w:tcPr>
          <w:p w:rsidR="00F357FF" w:rsidRPr="00E345E3" w:rsidRDefault="00F357FF" w:rsidP="001049C8">
            <w:pPr>
              <w:pStyle w:val="Tabletext"/>
              <w:ind w:left="0" w:firstLine="0"/>
              <w:rPr>
                <w:rFonts w:ascii="Arial" w:hAnsi="Arial" w:cs="Arial"/>
                <w:szCs w:val="18"/>
                <w:lang w:val="ru-RU"/>
              </w:rPr>
            </w:pPr>
            <w:proofErr w:type="spellStart"/>
            <w:r w:rsidRPr="00E345E3">
              <w:rPr>
                <w:rFonts w:ascii="Arial" w:hAnsi="Arial" w:cs="Arial"/>
                <w:szCs w:val="18"/>
                <w:lang w:val="ru-RU"/>
              </w:rPr>
              <w:t>Субординированный</w:t>
            </w:r>
            <w:proofErr w:type="spellEnd"/>
            <w:r w:rsidRPr="00E345E3">
              <w:rPr>
                <w:rFonts w:ascii="Arial" w:hAnsi="Arial" w:cs="Arial"/>
                <w:szCs w:val="18"/>
                <w:lang w:val="ru-RU"/>
              </w:rPr>
              <w:t xml:space="preserve"> долг</w:t>
            </w:r>
          </w:p>
        </w:tc>
        <w:tc>
          <w:tcPr>
            <w:tcW w:w="141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26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 xml:space="preserve"> 13,227,500</w:t>
            </w:r>
          </w:p>
        </w:tc>
        <w:tc>
          <w:tcPr>
            <w:tcW w:w="1507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376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275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29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  <w:tc>
          <w:tcPr>
            <w:tcW w:w="1330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14"/>
              </w:tabs>
              <w:ind w:right="-58"/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szCs w:val="18"/>
                <w:lang w:val="ru-RU"/>
              </w:rPr>
              <w:t>-</w:t>
            </w:r>
          </w:p>
        </w:tc>
      </w:tr>
      <w:tr w:rsidR="00F357FF" w:rsidRPr="00E345E3" w:rsidTr="001049C8">
        <w:trPr>
          <w:trHeight w:hRule="exact" w:val="86"/>
        </w:trPr>
        <w:tc>
          <w:tcPr>
            <w:tcW w:w="3720" w:type="dxa"/>
            <w:tcBorders>
              <w:bottom w:val="single" w:sz="12" w:space="0" w:color="auto"/>
            </w:tcBorders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418"/>
              </w:tabs>
              <w:spacing w:line="226" w:lineRule="auto"/>
              <w:ind w:right="-45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14"/>
              </w:tabs>
              <w:spacing w:line="226" w:lineRule="auto"/>
              <w:ind w:right="0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330" w:type="dxa"/>
            <w:tcBorders>
              <w:bottom w:val="single" w:sz="12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114"/>
              </w:tabs>
              <w:spacing w:line="226" w:lineRule="auto"/>
              <w:ind w:right="0"/>
              <w:rPr>
                <w:rFonts w:cs="Arial"/>
                <w:szCs w:val="18"/>
                <w:lang w:val="ru-RU"/>
              </w:rPr>
            </w:pPr>
          </w:p>
        </w:tc>
      </w:tr>
    </w:tbl>
    <w:p w:rsidR="00F357FF" w:rsidRPr="00E345E3" w:rsidRDefault="00F357FF" w:rsidP="00F357FF">
      <w:pPr>
        <w:spacing w:before="240" w:after="240"/>
        <w:jc w:val="both"/>
        <w:rPr>
          <w:rFonts w:cs="Arial"/>
          <w:szCs w:val="18"/>
          <w:lang w:val="ru-RU"/>
        </w:rPr>
      </w:pPr>
      <w:r w:rsidRPr="00E345E3">
        <w:rPr>
          <w:rFonts w:cs="Arial"/>
          <w:szCs w:val="18"/>
          <w:lang w:val="ru-RU"/>
        </w:rPr>
        <w:t xml:space="preserve">Ниже указаны статьи доходов и расходов по операциям со связанными сторонами за </w:t>
      </w:r>
      <w:r>
        <w:rPr>
          <w:rFonts w:cs="Arial"/>
          <w:szCs w:val="18"/>
          <w:lang w:val="ru-RU"/>
        </w:rPr>
        <w:t xml:space="preserve">1 квартал </w:t>
      </w:r>
      <w:r w:rsidRPr="00E345E3">
        <w:rPr>
          <w:rFonts w:cs="Arial"/>
          <w:szCs w:val="18"/>
          <w:lang w:val="ru-RU"/>
        </w:rPr>
        <w:t>201</w:t>
      </w:r>
      <w:r>
        <w:rPr>
          <w:rFonts w:cs="Arial"/>
          <w:szCs w:val="18"/>
          <w:lang w:val="ru-RU"/>
        </w:rPr>
        <w:t>2</w:t>
      </w:r>
      <w:r w:rsidRPr="00E345E3">
        <w:rPr>
          <w:rFonts w:cs="Arial"/>
          <w:szCs w:val="18"/>
          <w:lang w:val="ru-RU"/>
        </w:rPr>
        <w:t xml:space="preserve"> год</w:t>
      </w:r>
      <w:r>
        <w:rPr>
          <w:rFonts w:cs="Arial"/>
          <w:szCs w:val="18"/>
          <w:lang w:val="ru-RU"/>
        </w:rPr>
        <w:t>а</w:t>
      </w:r>
      <w:r w:rsidRPr="00E345E3">
        <w:rPr>
          <w:rFonts w:cs="Arial"/>
          <w:szCs w:val="18"/>
          <w:lang w:val="ru-RU"/>
        </w:rPr>
        <w:t xml:space="preserve">: </w:t>
      </w:r>
    </w:p>
    <w:tbl>
      <w:tblPr>
        <w:tblW w:w="9216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69"/>
        <w:gridCol w:w="1242"/>
        <w:gridCol w:w="443"/>
        <w:gridCol w:w="1862"/>
      </w:tblGrid>
      <w:tr w:rsidR="00F357FF" w:rsidRPr="00E345E3" w:rsidTr="001049C8">
        <w:trPr>
          <w:tblHeader/>
        </w:trPr>
        <w:tc>
          <w:tcPr>
            <w:tcW w:w="5669" w:type="dxa"/>
            <w:tcBorders>
              <w:bottom w:val="single" w:sz="6" w:space="0" w:color="auto"/>
            </w:tcBorders>
            <w:vAlign w:val="bottom"/>
          </w:tcPr>
          <w:p w:rsidR="00F357FF" w:rsidRPr="00E345E3" w:rsidRDefault="00F357FF" w:rsidP="001049C8">
            <w:pPr>
              <w:keepLines/>
              <w:ind w:left="112" w:hanging="140"/>
              <w:rPr>
                <w:rFonts w:cs="Arial"/>
                <w:sz w:val="16"/>
                <w:szCs w:val="18"/>
                <w:lang w:val="ru-RU"/>
              </w:rPr>
            </w:pPr>
            <w:r w:rsidRPr="00E345E3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1685" w:type="dxa"/>
            <w:gridSpan w:val="2"/>
            <w:tcBorders>
              <w:bottom w:val="single" w:sz="6" w:space="0" w:color="auto"/>
            </w:tcBorders>
          </w:tcPr>
          <w:p w:rsidR="00F357FF" w:rsidRPr="00E345E3" w:rsidRDefault="00F357FF" w:rsidP="001049C8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34" w:hanging="28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Материнская компания</w:t>
            </w:r>
          </w:p>
        </w:tc>
        <w:tc>
          <w:tcPr>
            <w:tcW w:w="1862" w:type="dxa"/>
            <w:tcBorders>
              <w:bottom w:val="single" w:sz="6" w:space="0" w:color="auto"/>
            </w:tcBorders>
          </w:tcPr>
          <w:p w:rsidR="00F357FF" w:rsidRPr="00E345E3" w:rsidRDefault="00F357FF" w:rsidP="001049C8">
            <w:pPr>
              <w:pStyle w:val="Columnheader"/>
              <w:tabs>
                <w:tab w:val="clear" w:pos="1503"/>
              </w:tabs>
              <w:spacing w:line="240" w:lineRule="auto"/>
              <w:ind w:right="70"/>
              <w:jc w:val="righ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Компании под общим контролем</w:t>
            </w:r>
          </w:p>
        </w:tc>
      </w:tr>
      <w:tr w:rsidR="00F357FF" w:rsidRPr="00E345E3" w:rsidTr="001049C8">
        <w:tc>
          <w:tcPr>
            <w:tcW w:w="5669" w:type="dxa"/>
            <w:tcBorders>
              <w:top w:val="single" w:sz="6" w:space="0" w:color="auto"/>
            </w:tcBorders>
            <w:vAlign w:val="bottom"/>
          </w:tcPr>
          <w:p w:rsidR="00F357FF" w:rsidRPr="00E345E3" w:rsidRDefault="00F357FF" w:rsidP="001049C8">
            <w:pPr>
              <w:keepNext/>
              <w:keepLines/>
              <w:ind w:left="112" w:hanging="140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1685" w:type="dxa"/>
            <w:gridSpan w:val="2"/>
            <w:tcBorders>
              <w:top w:val="single" w:sz="6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695"/>
              </w:tabs>
              <w:rPr>
                <w:rFonts w:cs="Arial"/>
                <w:szCs w:val="18"/>
                <w:lang w:val="ru-RU"/>
              </w:rPr>
            </w:pPr>
          </w:p>
        </w:tc>
        <w:tc>
          <w:tcPr>
            <w:tcW w:w="1862" w:type="dxa"/>
            <w:tcBorders>
              <w:top w:val="single" w:sz="6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695"/>
              </w:tabs>
              <w:rPr>
                <w:rFonts w:cs="Arial"/>
                <w:szCs w:val="18"/>
                <w:lang w:val="ru-RU"/>
              </w:rPr>
            </w:pPr>
          </w:p>
        </w:tc>
      </w:tr>
      <w:tr w:rsidR="00F357FF" w:rsidRPr="00E345E3" w:rsidTr="001049C8">
        <w:tc>
          <w:tcPr>
            <w:tcW w:w="5669" w:type="dxa"/>
            <w:vAlign w:val="bottom"/>
          </w:tcPr>
          <w:p w:rsidR="00F357FF" w:rsidRPr="00E345E3" w:rsidRDefault="00F357FF" w:rsidP="001049C8">
            <w:pPr>
              <w:pStyle w:val="Tabletext"/>
              <w:ind w:left="112" w:hanging="140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Процентные доходы</w:t>
            </w:r>
          </w:p>
        </w:tc>
        <w:tc>
          <w:tcPr>
            <w:tcW w:w="1685" w:type="dxa"/>
            <w:gridSpan w:val="2"/>
            <w:vAlign w:val="bottom"/>
          </w:tcPr>
          <w:p w:rsidR="00F357FF" w:rsidRPr="00E345E3" w:rsidRDefault="00F357FF" w:rsidP="001049C8">
            <w:pPr>
              <w:pStyle w:val="Columnheader"/>
              <w:tabs>
                <w:tab w:val="clear" w:pos="1503"/>
                <w:tab w:val="decimal" w:pos="1565"/>
              </w:tabs>
              <w:spacing w:line="240" w:lineRule="auto"/>
              <w:ind w:right="-58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E345E3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862" w:type="dxa"/>
            <w:vAlign w:val="bottom"/>
          </w:tcPr>
          <w:p w:rsidR="00F357FF" w:rsidRPr="00E345E3" w:rsidRDefault="00F357FF" w:rsidP="00F357FF">
            <w:pPr>
              <w:pStyle w:val="Columnheader"/>
              <w:tabs>
                <w:tab w:val="clear" w:pos="1503"/>
                <w:tab w:val="decimal" w:pos="1680"/>
              </w:tabs>
              <w:spacing w:line="240" w:lineRule="auto"/>
              <w:ind w:right="-58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E345E3">
              <w:rPr>
                <w:rFonts w:ascii="Arial" w:hAnsi="Arial" w:cs="Arial"/>
                <w:b w:val="0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75,801</w:t>
            </w:r>
          </w:p>
        </w:tc>
      </w:tr>
      <w:tr w:rsidR="00F357FF" w:rsidRPr="00E345E3" w:rsidTr="001049C8">
        <w:tc>
          <w:tcPr>
            <w:tcW w:w="5669" w:type="dxa"/>
            <w:vAlign w:val="bottom"/>
          </w:tcPr>
          <w:p w:rsidR="00F357FF" w:rsidRPr="00E345E3" w:rsidRDefault="00F357FF" w:rsidP="001049C8">
            <w:pPr>
              <w:pStyle w:val="Tabletext"/>
              <w:ind w:left="112" w:hanging="140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Процентные расходы</w:t>
            </w:r>
          </w:p>
        </w:tc>
        <w:tc>
          <w:tcPr>
            <w:tcW w:w="1685" w:type="dxa"/>
            <w:gridSpan w:val="2"/>
            <w:vAlign w:val="bottom"/>
          </w:tcPr>
          <w:p w:rsidR="00F357FF" w:rsidRPr="00E345E3" w:rsidRDefault="00F357FF" w:rsidP="00F357FF">
            <w:pPr>
              <w:pStyle w:val="Columnheader"/>
              <w:tabs>
                <w:tab w:val="clear" w:pos="1503"/>
                <w:tab w:val="decimal" w:pos="1565"/>
              </w:tabs>
              <w:spacing w:line="240" w:lineRule="auto"/>
              <w:ind w:right="-58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E345E3">
              <w:rPr>
                <w:rFonts w:ascii="Arial" w:hAnsi="Arial" w:cs="Arial"/>
                <w:b w:val="0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1,618,222</w:t>
            </w:r>
            <w:r w:rsidRPr="00E345E3">
              <w:rPr>
                <w:rFonts w:ascii="Arial" w:hAnsi="Arial" w:cs="Arial"/>
                <w:b w:val="0"/>
                <w:szCs w:val="18"/>
                <w:lang w:val="ru-RU"/>
              </w:rPr>
              <w:t>)</w:t>
            </w:r>
          </w:p>
        </w:tc>
        <w:tc>
          <w:tcPr>
            <w:tcW w:w="1862" w:type="dxa"/>
            <w:vAlign w:val="bottom"/>
          </w:tcPr>
          <w:p w:rsidR="00F357FF" w:rsidRPr="00E345E3" w:rsidRDefault="00F357FF" w:rsidP="00F357FF">
            <w:pPr>
              <w:pStyle w:val="Columnheader"/>
              <w:tabs>
                <w:tab w:val="clear" w:pos="1503"/>
                <w:tab w:val="decimal" w:pos="1680"/>
              </w:tabs>
              <w:spacing w:line="240" w:lineRule="auto"/>
              <w:ind w:right="-58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E345E3">
              <w:rPr>
                <w:rFonts w:ascii="Arial" w:hAnsi="Arial" w:cs="Arial"/>
                <w:b w:val="0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39,401</w:t>
            </w:r>
            <w:r w:rsidRPr="00E345E3">
              <w:rPr>
                <w:rFonts w:ascii="Arial" w:hAnsi="Arial" w:cs="Arial"/>
                <w:b w:val="0"/>
                <w:szCs w:val="18"/>
                <w:lang w:val="ru-RU"/>
              </w:rPr>
              <w:t>)</w:t>
            </w:r>
          </w:p>
        </w:tc>
      </w:tr>
      <w:tr w:rsidR="00F357FF" w:rsidRPr="00E345E3" w:rsidTr="001049C8">
        <w:tc>
          <w:tcPr>
            <w:tcW w:w="5669" w:type="dxa"/>
            <w:vAlign w:val="bottom"/>
          </w:tcPr>
          <w:p w:rsidR="00F357FF" w:rsidRPr="00E345E3" w:rsidRDefault="00F357FF" w:rsidP="001049C8">
            <w:pPr>
              <w:pStyle w:val="Tabletext"/>
              <w:ind w:left="112" w:hanging="140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 xml:space="preserve">Восстановление резерва под обесценение в течение года </w:t>
            </w:r>
          </w:p>
        </w:tc>
        <w:tc>
          <w:tcPr>
            <w:tcW w:w="1685" w:type="dxa"/>
            <w:gridSpan w:val="2"/>
            <w:vAlign w:val="bottom"/>
          </w:tcPr>
          <w:p w:rsidR="00F357FF" w:rsidRPr="00E345E3" w:rsidRDefault="00F357FF" w:rsidP="001049C8">
            <w:pPr>
              <w:pStyle w:val="Columnheader"/>
              <w:tabs>
                <w:tab w:val="clear" w:pos="1503"/>
                <w:tab w:val="decimal" w:pos="1565"/>
              </w:tabs>
              <w:spacing w:line="240" w:lineRule="auto"/>
              <w:ind w:right="-58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E345E3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862" w:type="dxa"/>
            <w:vAlign w:val="bottom"/>
          </w:tcPr>
          <w:p w:rsidR="00F357FF" w:rsidRPr="00E345E3" w:rsidRDefault="00F357FF" w:rsidP="001049C8">
            <w:pPr>
              <w:pStyle w:val="Columnheader"/>
              <w:tabs>
                <w:tab w:val="clear" w:pos="1503"/>
                <w:tab w:val="decimal" w:pos="1680"/>
              </w:tabs>
              <w:spacing w:line="240" w:lineRule="auto"/>
              <w:ind w:right="-58"/>
              <w:rPr>
                <w:rFonts w:ascii="Arial" w:hAnsi="Arial" w:cs="Arial"/>
                <w:b w:val="0"/>
                <w:szCs w:val="18"/>
                <w:lang w:val="ru-RU"/>
              </w:rPr>
            </w:pPr>
            <w:r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</w:tr>
      <w:tr w:rsidR="00F357FF" w:rsidRPr="00E345E3" w:rsidTr="001049C8">
        <w:tc>
          <w:tcPr>
            <w:tcW w:w="5669" w:type="dxa"/>
            <w:vAlign w:val="bottom"/>
          </w:tcPr>
          <w:p w:rsidR="00F357FF" w:rsidRPr="00E345E3" w:rsidRDefault="00F357FF" w:rsidP="001049C8">
            <w:pPr>
              <w:pStyle w:val="ABCTitle"/>
              <w:spacing w:before="0"/>
              <w:ind w:left="112" w:hanging="140"/>
              <w:rPr>
                <w:rFonts w:cs="Arial"/>
                <w:sz w:val="18"/>
                <w:szCs w:val="18"/>
                <w:lang w:val="ru-RU"/>
              </w:rPr>
            </w:pPr>
            <w:r w:rsidRPr="00E345E3"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  <w:t xml:space="preserve">Административные и прочие операционные расходы </w:t>
            </w:r>
          </w:p>
        </w:tc>
        <w:tc>
          <w:tcPr>
            <w:tcW w:w="1685" w:type="dxa"/>
            <w:gridSpan w:val="2"/>
            <w:vAlign w:val="bottom"/>
          </w:tcPr>
          <w:p w:rsidR="00F357FF" w:rsidRPr="00E345E3" w:rsidRDefault="00F357FF" w:rsidP="001049C8">
            <w:pPr>
              <w:pStyle w:val="Columnheader"/>
              <w:tabs>
                <w:tab w:val="clear" w:pos="1503"/>
                <w:tab w:val="decimal" w:pos="1565"/>
              </w:tabs>
              <w:spacing w:line="240" w:lineRule="auto"/>
              <w:ind w:right="-58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E345E3">
              <w:rPr>
                <w:rFonts w:ascii="Arial" w:hAnsi="Arial" w:cs="Arial"/>
                <w:b w:val="0"/>
                <w:szCs w:val="18"/>
                <w:lang w:val="ru-RU"/>
              </w:rPr>
              <w:t>-</w:t>
            </w:r>
          </w:p>
        </w:tc>
        <w:tc>
          <w:tcPr>
            <w:tcW w:w="1862" w:type="dxa"/>
            <w:vAlign w:val="bottom"/>
          </w:tcPr>
          <w:p w:rsidR="00F357FF" w:rsidRPr="00E345E3" w:rsidRDefault="00F357FF" w:rsidP="00F357FF">
            <w:pPr>
              <w:pStyle w:val="Columnheader"/>
              <w:tabs>
                <w:tab w:val="clear" w:pos="1503"/>
                <w:tab w:val="decimal" w:pos="1680"/>
              </w:tabs>
              <w:spacing w:line="240" w:lineRule="auto"/>
              <w:ind w:right="-58"/>
              <w:rPr>
                <w:rFonts w:ascii="Arial" w:hAnsi="Arial" w:cs="Arial"/>
                <w:b w:val="0"/>
                <w:szCs w:val="18"/>
                <w:lang w:val="ru-RU"/>
              </w:rPr>
            </w:pPr>
            <w:r w:rsidRPr="00E345E3">
              <w:rPr>
                <w:rFonts w:ascii="Arial" w:hAnsi="Arial" w:cs="Arial"/>
                <w:b w:val="0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b w:val="0"/>
                <w:szCs w:val="18"/>
                <w:lang w:val="ru-RU"/>
              </w:rPr>
              <w:t>23,682</w:t>
            </w:r>
            <w:r w:rsidRPr="00E345E3">
              <w:rPr>
                <w:rFonts w:ascii="Arial" w:hAnsi="Arial" w:cs="Arial"/>
                <w:b w:val="0"/>
                <w:szCs w:val="18"/>
                <w:lang w:val="ru-RU"/>
              </w:rPr>
              <w:t>)</w:t>
            </w:r>
          </w:p>
        </w:tc>
      </w:tr>
      <w:tr w:rsidR="00F357FF" w:rsidRPr="00E345E3" w:rsidTr="001049C8">
        <w:trPr>
          <w:trHeight w:hRule="exact" w:val="86"/>
        </w:trPr>
        <w:tc>
          <w:tcPr>
            <w:tcW w:w="5669" w:type="dxa"/>
            <w:tcBorders>
              <w:bottom w:val="single" w:sz="12" w:space="0" w:color="auto"/>
            </w:tcBorders>
          </w:tcPr>
          <w:p w:rsidR="00F357FF" w:rsidRPr="00E345E3" w:rsidRDefault="00F357FF" w:rsidP="001049C8">
            <w:pPr>
              <w:pStyle w:val="ABCTitle"/>
              <w:spacing w:before="0"/>
              <w:ind w:left="112" w:hanging="140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bottom"/>
          </w:tcPr>
          <w:p w:rsidR="00F357FF" w:rsidRPr="00E345E3" w:rsidRDefault="00F357FF" w:rsidP="001049C8">
            <w:pPr>
              <w:pStyle w:val="Columnheader"/>
              <w:keepNext/>
              <w:keepLines/>
              <w:tabs>
                <w:tab w:val="clear" w:pos="1503"/>
              </w:tabs>
              <w:spacing w:line="240" w:lineRule="auto"/>
              <w:ind w:left="-49" w:right="34" w:hanging="28"/>
              <w:jc w:val="right"/>
              <w:rPr>
                <w:rFonts w:ascii="Arial" w:hAnsi="Arial" w:cs="Arial"/>
                <w:b w:val="0"/>
                <w:szCs w:val="18"/>
                <w:lang w:val="ru-RU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695"/>
              </w:tabs>
              <w:rPr>
                <w:rFonts w:cs="Arial"/>
                <w:szCs w:val="18"/>
                <w:lang w:val="ru-RU"/>
              </w:rPr>
            </w:pPr>
          </w:p>
        </w:tc>
      </w:tr>
      <w:tr w:rsidR="00F357FF" w:rsidRPr="00E345E3" w:rsidTr="00D67FD2">
        <w:trPr>
          <w:trHeight w:hRule="exact" w:val="239"/>
        </w:trPr>
        <w:tc>
          <w:tcPr>
            <w:tcW w:w="5669" w:type="dxa"/>
            <w:tcBorders>
              <w:top w:val="single" w:sz="12" w:space="0" w:color="auto"/>
            </w:tcBorders>
          </w:tcPr>
          <w:p w:rsidR="00F357FF" w:rsidRPr="00E345E3" w:rsidRDefault="00F357FF" w:rsidP="001049C8">
            <w:pPr>
              <w:pStyle w:val="ABCTitle"/>
              <w:spacing w:before="0"/>
              <w:ind w:left="112" w:hanging="140"/>
              <w:rPr>
                <w:rFonts w:cs="Arial"/>
                <w:b w:val="0"/>
                <w:smallCaps w:val="0"/>
                <w:sz w:val="18"/>
                <w:szCs w:val="18"/>
                <w:lang w:val="ru-RU"/>
              </w:rPr>
            </w:pPr>
          </w:p>
        </w:tc>
        <w:tc>
          <w:tcPr>
            <w:tcW w:w="1685" w:type="dxa"/>
            <w:gridSpan w:val="2"/>
            <w:tcBorders>
              <w:top w:val="single" w:sz="12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418"/>
              </w:tabs>
              <w:rPr>
                <w:rFonts w:cs="Arial"/>
                <w:szCs w:val="18"/>
                <w:lang w:val="ru-RU"/>
              </w:rPr>
            </w:pPr>
          </w:p>
        </w:tc>
        <w:tc>
          <w:tcPr>
            <w:tcW w:w="1862" w:type="dxa"/>
            <w:tcBorders>
              <w:top w:val="single" w:sz="12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695"/>
              </w:tabs>
              <w:rPr>
                <w:rFonts w:cs="Arial"/>
                <w:szCs w:val="18"/>
                <w:lang w:val="ru-RU"/>
              </w:rPr>
            </w:pPr>
          </w:p>
        </w:tc>
      </w:tr>
      <w:tr w:rsidR="00F357FF" w:rsidRPr="00E345E3" w:rsidTr="00D67FD2">
        <w:trPr>
          <w:trHeight w:hRule="exact" w:val="86"/>
        </w:trPr>
        <w:tc>
          <w:tcPr>
            <w:tcW w:w="6911" w:type="dxa"/>
            <w:gridSpan w:val="2"/>
            <w:vAlign w:val="bottom"/>
          </w:tcPr>
          <w:p w:rsidR="00F357FF" w:rsidRPr="00E345E3" w:rsidRDefault="00F357FF" w:rsidP="00F357FF">
            <w:pPr>
              <w:spacing w:after="200" w:line="276" w:lineRule="auto"/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2305" w:type="dxa"/>
            <w:gridSpan w:val="2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653"/>
              </w:tabs>
              <w:spacing w:line="226" w:lineRule="auto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</w:tbl>
    <w:p w:rsidR="00F357FF" w:rsidRPr="00E345E3" w:rsidRDefault="00F357FF" w:rsidP="00F357FF">
      <w:pPr>
        <w:pStyle w:val="ABC-paragrahinNotes"/>
        <w:spacing w:before="240" w:after="0"/>
        <w:rPr>
          <w:rFonts w:ascii="Arial" w:hAnsi="Arial" w:cs="Arial"/>
          <w:sz w:val="18"/>
          <w:szCs w:val="18"/>
          <w:lang w:val="ru-RU"/>
        </w:rPr>
      </w:pPr>
      <w:r w:rsidRPr="00E345E3">
        <w:rPr>
          <w:rFonts w:ascii="Arial" w:hAnsi="Arial" w:cs="Arial"/>
          <w:sz w:val="18"/>
          <w:szCs w:val="18"/>
          <w:lang w:val="ru-RU"/>
        </w:rPr>
        <w:t>Ниже представлена информация о выплатах вознаграждения ключевому руководству:</w:t>
      </w:r>
    </w:p>
    <w:p w:rsidR="00F357FF" w:rsidRPr="00E345E3" w:rsidRDefault="00F357FF" w:rsidP="00F357FF">
      <w:pPr>
        <w:pStyle w:val="ABC-paragrahinNotes"/>
        <w:spacing w:after="0"/>
        <w:rPr>
          <w:rFonts w:ascii="Arial" w:hAnsi="Arial" w:cs="Arial"/>
          <w:sz w:val="18"/>
          <w:szCs w:val="18"/>
          <w:lang w:val="ru-RU"/>
        </w:rPr>
      </w:pPr>
    </w:p>
    <w:tbl>
      <w:tblPr>
        <w:tblW w:w="9216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710"/>
        <w:gridCol w:w="2228"/>
        <w:gridCol w:w="1278"/>
      </w:tblGrid>
      <w:tr w:rsidR="00F357FF" w:rsidRPr="00E345E3" w:rsidTr="00387DB2">
        <w:trPr>
          <w:trHeight w:val="202"/>
        </w:trPr>
        <w:tc>
          <w:tcPr>
            <w:tcW w:w="5710" w:type="dxa"/>
            <w:vAlign w:val="bottom"/>
          </w:tcPr>
          <w:p w:rsidR="00F357FF" w:rsidRPr="00E345E3" w:rsidRDefault="00F357FF" w:rsidP="001049C8">
            <w:pPr>
              <w:rPr>
                <w:rFonts w:cs="Arial"/>
                <w:szCs w:val="18"/>
                <w:lang w:val="ru-RU"/>
              </w:rPr>
            </w:pPr>
            <w:r w:rsidRPr="00E345E3">
              <w:rPr>
                <w:rFonts w:cs="Arial"/>
                <w:i/>
                <w:sz w:val="16"/>
                <w:szCs w:val="18"/>
                <w:lang w:val="ru-RU"/>
              </w:rPr>
              <w:t>(в тысячах казахстанских тенге)</w:t>
            </w:r>
          </w:p>
        </w:tc>
        <w:tc>
          <w:tcPr>
            <w:tcW w:w="2228" w:type="dxa"/>
            <w:tcBorders>
              <w:bottom w:val="single" w:sz="6" w:space="0" w:color="auto"/>
            </w:tcBorders>
          </w:tcPr>
          <w:p w:rsidR="00F357FF" w:rsidRPr="00E345E3" w:rsidRDefault="00387DB2" w:rsidP="001049C8">
            <w:pPr>
              <w:pStyle w:val="Columnheader"/>
              <w:tabs>
                <w:tab w:val="clear" w:pos="1503"/>
              </w:tabs>
              <w:spacing w:line="240" w:lineRule="auto"/>
              <w:ind w:right="117"/>
              <w:jc w:val="right"/>
              <w:rPr>
                <w:rFonts w:ascii="Arial" w:hAnsi="Arial" w:cs="Arial"/>
                <w:szCs w:val="18"/>
                <w:lang w:val="ru-RU"/>
              </w:rPr>
            </w:pPr>
            <w:r>
              <w:rPr>
                <w:rFonts w:ascii="Arial" w:hAnsi="Arial" w:cs="Arial"/>
                <w:szCs w:val="18"/>
                <w:lang w:val="ru-RU"/>
              </w:rPr>
              <w:t>1 квартал 2012</w:t>
            </w:r>
            <w:r w:rsidR="00F357FF" w:rsidRPr="00E345E3">
              <w:rPr>
                <w:rFonts w:ascii="Arial" w:hAnsi="Arial" w:cs="Arial"/>
                <w:szCs w:val="18"/>
                <w:lang w:val="ru-RU"/>
              </w:rPr>
              <w:t xml:space="preserve"> г.</w:t>
            </w:r>
          </w:p>
        </w:tc>
        <w:tc>
          <w:tcPr>
            <w:tcW w:w="1278" w:type="dxa"/>
            <w:tcBorders>
              <w:bottom w:val="single" w:sz="6" w:space="0" w:color="auto"/>
            </w:tcBorders>
          </w:tcPr>
          <w:p w:rsidR="00F357FF" w:rsidRPr="00E345E3" w:rsidRDefault="00F357FF" w:rsidP="001049C8">
            <w:pPr>
              <w:pStyle w:val="Columnheader"/>
              <w:tabs>
                <w:tab w:val="clear" w:pos="1503"/>
              </w:tabs>
              <w:spacing w:line="240" w:lineRule="auto"/>
              <w:ind w:right="70"/>
              <w:jc w:val="right"/>
              <w:rPr>
                <w:rFonts w:ascii="Arial" w:hAnsi="Arial" w:cs="Arial"/>
                <w:szCs w:val="18"/>
                <w:lang w:val="ru-RU"/>
              </w:rPr>
            </w:pPr>
          </w:p>
        </w:tc>
      </w:tr>
      <w:tr w:rsidR="00F357FF" w:rsidRPr="00E345E3" w:rsidTr="00387DB2">
        <w:trPr>
          <w:trHeight w:val="202"/>
        </w:trPr>
        <w:tc>
          <w:tcPr>
            <w:tcW w:w="5710" w:type="dxa"/>
            <w:tcBorders>
              <w:top w:val="single" w:sz="6" w:space="0" w:color="auto"/>
            </w:tcBorders>
          </w:tcPr>
          <w:p w:rsidR="00F357FF" w:rsidRPr="00E345E3" w:rsidRDefault="00F357FF" w:rsidP="001049C8">
            <w:pPr>
              <w:rPr>
                <w:rFonts w:cs="Arial"/>
                <w:b/>
                <w:szCs w:val="18"/>
                <w:lang w:val="ru-RU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</w:tabs>
              <w:ind w:right="-58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</w:tabs>
              <w:ind w:right="-58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F357FF" w:rsidRPr="00E345E3" w:rsidTr="00387DB2">
        <w:trPr>
          <w:trHeight w:val="202"/>
        </w:trPr>
        <w:tc>
          <w:tcPr>
            <w:tcW w:w="5710" w:type="dxa"/>
            <w:vAlign w:val="bottom"/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i/>
                <w:szCs w:val="18"/>
                <w:lang w:val="ru-RU"/>
              </w:rPr>
              <w:t>Краткосрочные выплаты:</w:t>
            </w:r>
          </w:p>
        </w:tc>
        <w:tc>
          <w:tcPr>
            <w:tcW w:w="222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</w:tabs>
              <w:ind w:right="-58"/>
              <w:rPr>
                <w:rFonts w:cs="Arial"/>
                <w:b/>
                <w:bCs/>
                <w:szCs w:val="18"/>
                <w:lang w:val="ru-RU"/>
              </w:rPr>
            </w:pPr>
          </w:p>
        </w:tc>
        <w:tc>
          <w:tcPr>
            <w:tcW w:w="127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</w:tabs>
              <w:ind w:right="-58"/>
              <w:rPr>
                <w:rFonts w:cs="Arial"/>
                <w:b/>
                <w:bCs/>
                <w:szCs w:val="18"/>
                <w:lang w:val="ru-RU"/>
              </w:rPr>
            </w:pPr>
          </w:p>
        </w:tc>
      </w:tr>
      <w:tr w:rsidR="00F357FF" w:rsidRPr="00E345E3" w:rsidTr="00387DB2">
        <w:trPr>
          <w:trHeight w:val="202"/>
        </w:trPr>
        <w:tc>
          <w:tcPr>
            <w:tcW w:w="5710" w:type="dxa"/>
            <w:vAlign w:val="bottom"/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>- Заработная плата</w:t>
            </w:r>
          </w:p>
        </w:tc>
        <w:tc>
          <w:tcPr>
            <w:tcW w:w="2228" w:type="dxa"/>
            <w:vAlign w:val="bottom"/>
          </w:tcPr>
          <w:p w:rsidR="00F357FF" w:rsidRPr="00E345E3" w:rsidRDefault="000F4257" w:rsidP="001049C8">
            <w:pPr>
              <w:pStyle w:val="Tablenumbers1"/>
              <w:tabs>
                <w:tab w:val="clear" w:pos="1503"/>
                <w:tab w:val="decimal" w:pos="1524"/>
              </w:tabs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19,720</w:t>
            </w:r>
          </w:p>
        </w:tc>
        <w:tc>
          <w:tcPr>
            <w:tcW w:w="127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571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</w:tr>
      <w:tr w:rsidR="00F357FF" w:rsidRPr="00E345E3" w:rsidTr="00387DB2">
        <w:trPr>
          <w:trHeight w:val="202"/>
        </w:trPr>
        <w:tc>
          <w:tcPr>
            <w:tcW w:w="5710" w:type="dxa"/>
            <w:vAlign w:val="bottom"/>
          </w:tcPr>
          <w:p w:rsidR="00F357FF" w:rsidRPr="00E345E3" w:rsidRDefault="00F357FF" w:rsidP="001049C8">
            <w:pPr>
              <w:pStyle w:val="Tabletext"/>
              <w:ind w:left="0" w:firstLine="0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 xml:space="preserve">- Прочие выплаты денежными средствами </w:t>
            </w:r>
          </w:p>
        </w:tc>
        <w:tc>
          <w:tcPr>
            <w:tcW w:w="2228" w:type="dxa"/>
            <w:vAlign w:val="bottom"/>
          </w:tcPr>
          <w:p w:rsidR="00F357FF" w:rsidRPr="00E345E3" w:rsidRDefault="000F4257" w:rsidP="001049C8">
            <w:pPr>
              <w:pStyle w:val="Tablenumbers1"/>
              <w:tabs>
                <w:tab w:val="clear" w:pos="1503"/>
                <w:tab w:val="decimal" w:pos="1524"/>
              </w:tabs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1,400</w:t>
            </w:r>
          </w:p>
        </w:tc>
        <w:tc>
          <w:tcPr>
            <w:tcW w:w="127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571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</w:tr>
      <w:tr w:rsidR="00F357FF" w:rsidRPr="00E345E3" w:rsidTr="00387DB2">
        <w:trPr>
          <w:trHeight w:val="202"/>
        </w:trPr>
        <w:tc>
          <w:tcPr>
            <w:tcW w:w="5710" w:type="dxa"/>
            <w:vAlign w:val="bottom"/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szCs w:val="18"/>
                <w:lang w:val="ru-RU"/>
              </w:rPr>
              <w:t xml:space="preserve">- Выплаты в </w:t>
            </w:r>
            <w:proofErr w:type="spellStart"/>
            <w:r w:rsidRPr="00E345E3">
              <w:rPr>
                <w:rFonts w:ascii="Arial" w:hAnsi="Arial" w:cs="Arial"/>
                <w:szCs w:val="18"/>
                <w:lang w:val="ru-RU"/>
              </w:rPr>
              <w:t>неденежной</w:t>
            </w:r>
            <w:proofErr w:type="spellEnd"/>
            <w:r w:rsidRPr="00E345E3">
              <w:rPr>
                <w:rFonts w:ascii="Arial" w:hAnsi="Arial" w:cs="Arial"/>
                <w:szCs w:val="18"/>
                <w:lang w:val="ru-RU"/>
              </w:rPr>
              <w:t xml:space="preserve"> форме</w:t>
            </w:r>
          </w:p>
        </w:tc>
        <w:tc>
          <w:tcPr>
            <w:tcW w:w="2228" w:type="dxa"/>
            <w:vAlign w:val="bottom"/>
          </w:tcPr>
          <w:p w:rsidR="00F357FF" w:rsidRPr="00E345E3" w:rsidRDefault="000F4257" w:rsidP="000F4257">
            <w:pPr>
              <w:pStyle w:val="Tablenumbers1"/>
              <w:ind w:right="-58"/>
              <w:jc w:val="center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szCs w:val="18"/>
                <w:lang w:val="ru-RU"/>
              </w:rPr>
              <w:t>631</w:t>
            </w:r>
          </w:p>
        </w:tc>
        <w:tc>
          <w:tcPr>
            <w:tcW w:w="127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571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</w:tr>
      <w:tr w:rsidR="00F357FF" w:rsidRPr="00E345E3" w:rsidTr="00387DB2">
        <w:trPr>
          <w:trHeight w:hRule="exact" w:val="86"/>
        </w:trPr>
        <w:tc>
          <w:tcPr>
            <w:tcW w:w="5710" w:type="dxa"/>
            <w:tcBorders>
              <w:bottom w:val="single" w:sz="6" w:space="0" w:color="auto"/>
            </w:tcBorders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2228" w:type="dxa"/>
            <w:tcBorders>
              <w:bottom w:val="single" w:sz="6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524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bottom w:val="single" w:sz="6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571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</w:tr>
      <w:tr w:rsidR="00F357FF" w:rsidRPr="00E345E3" w:rsidTr="00387DB2">
        <w:trPr>
          <w:trHeight w:val="202"/>
        </w:trPr>
        <w:tc>
          <w:tcPr>
            <w:tcW w:w="5710" w:type="dxa"/>
            <w:tcBorders>
              <w:top w:val="single" w:sz="6" w:space="0" w:color="auto"/>
            </w:tcBorders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2228" w:type="dxa"/>
            <w:tcBorders>
              <w:top w:val="single" w:sz="6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524"/>
              </w:tabs>
              <w:ind w:right="-5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571"/>
              </w:tabs>
              <w:ind w:right="-58"/>
              <w:rPr>
                <w:rFonts w:cs="Arial"/>
                <w:b/>
                <w:szCs w:val="18"/>
                <w:lang w:val="ru-RU"/>
              </w:rPr>
            </w:pPr>
          </w:p>
        </w:tc>
      </w:tr>
      <w:tr w:rsidR="00F357FF" w:rsidRPr="00E345E3" w:rsidTr="00387DB2">
        <w:trPr>
          <w:trHeight w:val="202"/>
        </w:trPr>
        <w:tc>
          <w:tcPr>
            <w:tcW w:w="5710" w:type="dxa"/>
          </w:tcPr>
          <w:p w:rsidR="00F357FF" w:rsidRPr="00E345E3" w:rsidRDefault="00F357FF" w:rsidP="001049C8">
            <w:pPr>
              <w:pStyle w:val="Tabletext"/>
              <w:rPr>
                <w:rFonts w:ascii="Arial" w:hAnsi="Arial" w:cs="Arial"/>
                <w:szCs w:val="18"/>
                <w:lang w:val="ru-RU"/>
              </w:rPr>
            </w:pPr>
            <w:r w:rsidRPr="00E345E3">
              <w:rPr>
                <w:rFonts w:ascii="Arial" w:hAnsi="Arial" w:cs="Arial"/>
                <w:b/>
                <w:szCs w:val="18"/>
                <w:lang w:val="ru-RU"/>
              </w:rPr>
              <w:t>Итого</w:t>
            </w:r>
          </w:p>
        </w:tc>
        <w:tc>
          <w:tcPr>
            <w:tcW w:w="2228" w:type="dxa"/>
            <w:vAlign w:val="bottom"/>
          </w:tcPr>
          <w:p w:rsidR="00F357FF" w:rsidRPr="00E345E3" w:rsidRDefault="000F4257" w:rsidP="001049C8">
            <w:pPr>
              <w:pStyle w:val="Tablenumbers1"/>
              <w:tabs>
                <w:tab w:val="clear" w:pos="1503"/>
                <w:tab w:val="decimal" w:pos="1524"/>
              </w:tabs>
              <w:ind w:right="-58"/>
              <w:rPr>
                <w:rFonts w:cs="Arial"/>
                <w:szCs w:val="18"/>
                <w:lang w:val="ru-RU"/>
              </w:rPr>
            </w:pPr>
            <w:r>
              <w:rPr>
                <w:rFonts w:cs="Arial"/>
                <w:b/>
                <w:bCs/>
                <w:szCs w:val="18"/>
                <w:lang w:val="ru-RU"/>
              </w:rPr>
              <w:t>21,761</w:t>
            </w:r>
          </w:p>
        </w:tc>
        <w:tc>
          <w:tcPr>
            <w:tcW w:w="1278" w:type="dxa"/>
            <w:vAlign w:val="bottom"/>
          </w:tcPr>
          <w:p w:rsidR="00F357FF" w:rsidRPr="00E345E3" w:rsidRDefault="00F357FF" w:rsidP="001049C8">
            <w:pPr>
              <w:pStyle w:val="Tablenumbers1"/>
              <w:tabs>
                <w:tab w:val="clear" w:pos="1503"/>
                <w:tab w:val="decimal" w:pos="1571"/>
              </w:tabs>
              <w:ind w:right="-58"/>
              <w:rPr>
                <w:rFonts w:cs="Arial"/>
                <w:b/>
                <w:szCs w:val="18"/>
                <w:lang w:val="ru-RU"/>
              </w:rPr>
            </w:pPr>
          </w:p>
        </w:tc>
      </w:tr>
      <w:tr w:rsidR="00F357FF" w:rsidRPr="00E345E3" w:rsidTr="00387DB2">
        <w:trPr>
          <w:trHeight w:hRule="exact" w:val="86"/>
        </w:trPr>
        <w:tc>
          <w:tcPr>
            <w:tcW w:w="5710" w:type="dxa"/>
            <w:tcBorders>
              <w:bottom w:val="single" w:sz="12" w:space="0" w:color="auto"/>
            </w:tcBorders>
          </w:tcPr>
          <w:p w:rsidR="00F357FF" w:rsidRPr="00E345E3" w:rsidRDefault="00F357FF" w:rsidP="001049C8">
            <w:pPr>
              <w:pStyle w:val="Tabletext"/>
              <w:keepNext/>
              <w:keepLines/>
              <w:ind w:left="0" w:firstLine="0"/>
              <w:rPr>
                <w:rFonts w:ascii="Arial" w:hAnsi="Arial" w:cs="Arial"/>
                <w:szCs w:val="18"/>
                <w:lang w:val="ru-RU"/>
              </w:rPr>
            </w:pPr>
          </w:p>
        </w:tc>
        <w:tc>
          <w:tcPr>
            <w:tcW w:w="2228" w:type="dxa"/>
            <w:tcBorders>
              <w:bottom w:val="single" w:sz="12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bottom"/>
          </w:tcPr>
          <w:p w:rsidR="00F357FF" w:rsidRPr="00E345E3" w:rsidRDefault="00F357FF" w:rsidP="001049C8">
            <w:pPr>
              <w:pStyle w:val="Tablenumbers1"/>
              <w:keepNext/>
              <w:keepLines/>
              <w:tabs>
                <w:tab w:val="clear" w:pos="1503"/>
                <w:tab w:val="decimal" w:pos="1123"/>
              </w:tabs>
              <w:ind w:right="-28"/>
              <w:rPr>
                <w:rFonts w:cs="Arial"/>
                <w:szCs w:val="18"/>
                <w:lang w:val="ru-RU"/>
              </w:rPr>
            </w:pPr>
          </w:p>
        </w:tc>
      </w:tr>
    </w:tbl>
    <w:p w:rsidR="00476548" w:rsidRDefault="00476548"/>
    <w:sectPr w:rsidR="00476548" w:rsidSect="0047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333"/>
    <w:multiLevelType w:val="multilevel"/>
    <w:tmpl w:val="ACACB28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357FF"/>
    <w:rsid w:val="000F4257"/>
    <w:rsid w:val="00387DB2"/>
    <w:rsid w:val="00476548"/>
    <w:rsid w:val="00D67FD2"/>
    <w:rsid w:val="00E434C0"/>
    <w:rsid w:val="00F3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F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">
    <w:name w:val="heading 1"/>
    <w:aliases w:val="numbered indent 1,ni1,h1,Hanging 1 Indent,Header 1,Numbered indent 1"/>
    <w:basedOn w:val="2"/>
    <w:next w:val="a0"/>
    <w:link w:val="10"/>
    <w:uiPriority w:val="9"/>
    <w:qFormat/>
    <w:rsid w:val="00F357FF"/>
    <w:pPr>
      <w:keepLines w:val="0"/>
      <w:numPr>
        <w:numId w:val="1"/>
      </w:numPr>
      <w:spacing w:before="0" w:after="240"/>
      <w:outlineLvl w:val="0"/>
    </w:pPr>
    <w:rPr>
      <w:rFonts w:ascii="Arial" w:eastAsia="Times New Roman" w:hAnsi="Arial" w:cs="Times New Roman"/>
      <w:bCs w:val="0"/>
      <w:iCs/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7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numbered indent 1 Знак,ni1 Знак,h1 Знак,Hanging 1 Indent Знак,Header 1 Знак,Numbered indent 1 Знак"/>
    <w:basedOn w:val="a1"/>
    <w:link w:val="1"/>
    <w:uiPriority w:val="9"/>
    <w:rsid w:val="00F357FF"/>
    <w:rPr>
      <w:rFonts w:ascii="Arial" w:eastAsia="Times New Roman" w:hAnsi="Arial" w:cs="Times New Roman"/>
      <w:b/>
      <w:iCs/>
      <w:sz w:val="20"/>
      <w:szCs w:val="20"/>
      <w:lang w:val="en-GB"/>
    </w:rPr>
  </w:style>
  <w:style w:type="paragraph" w:customStyle="1" w:styleId="ABC-paragrahinNotes">
    <w:name w:val="ABC - paragrah in Notes"/>
    <w:link w:val="ABC-paragrahinNotes0"/>
    <w:qFormat/>
    <w:rsid w:val="00F357FF"/>
    <w:pPr>
      <w:spacing w:after="240" w:line="240" w:lineRule="auto"/>
      <w:jc w:val="both"/>
    </w:pPr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Tabletext">
    <w:name w:val="Table text"/>
    <w:basedOn w:val="a"/>
    <w:qFormat/>
    <w:rsid w:val="00F357FF"/>
    <w:pPr>
      <w:ind w:left="85" w:hanging="85"/>
    </w:pPr>
    <w:rPr>
      <w:rFonts w:ascii="Univers 45 Light" w:hAnsi="Univers 45 Light"/>
    </w:rPr>
  </w:style>
  <w:style w:type="paragraph" w:customStyle="1" w:styleId="Columnheader">
    <w:name w:val="Column header"/>
    <w:basedOn w:val="a"/>
    <w:rsid w:val="00F357FF"/>
    <w:pPr>
      <w:tabs>
        <w:tab w:val="decimal" w:pos="1503"/>
      </w:tabs>
      <w:spacing w:line="228" w:lineRule="auto"/>
      <w:ind w:right="-56"/>
    </w:pPr>
    <w:rPr>
      <w:rFonts w:ascii="Univers 45 Light" w:hAnsi="Univers 45 Light"/>
      <w:b/>
    </w:rPr>
  </w:style>
  <w:style w:type="character" w:customStyle="1" w:styleId="ABC-paragrahinNotes0">
    <w:name w:val="ABC - paragrah in Notes Знак"/>
    <w:basedOn w:val="a1"/>
    <w:link w:val="ABC-paragrahinNotes"/>
    <w:rsid w:val="00F357FF"/>
    <w:rPr>
      <w:rFonts w:ascii="Univers 45 Light" w:eastAsia="Times New Roman" w:hAnsi="Univers 45 Light" w:cs="Times New Roman"/>
      <w:sz w:val="20"/>
      <w:szCs w:val="20"/>
      <w:lang w:val="en-GB"/>
    </w:rPr>
  </w:style>
  <w:style w:type="paragraph" w:customStyle="1" w:styleId="RRthousands">
    <w:name w:val="RR thousands"/>
    <w:basedOn w:val="a"/>
    <w:link w:val="RRthousandsChar"/>
    <w:rsid w:val="00F357FF"/>
    <w:pPr>
      <w:ind w:left="86" w:hanging="86"/>
    </w:pPr>
    <w:rPr>
      <w:rFonts w:cs="Arial"/>
      <w:i/>
      <w:snapToGrid w:val="0"/>
      <w:lang w:eastAsia="ru-RU"/>
    </w:rPr>
  </w:style>
  <w:style w:type="paragraph" w:customStyle="1" w:styleId="Tablenumbers1">
    <w:name w:val="Table numbers1"/>
    <w:rsid w:val="00F357FF"/>
    <w:pPr>
      <w:tabs>
        <w:tab w:val="decimal" w:pos="1503"/>
      </w:tabs>
      <w:spacing w:after="0" w:line="240" w:lineRule="auto"/>
      <w:ind w:right="-56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ontinued">
    <w:name w:val="Continued"/>
    <w:qFormat/>
    <w:rsid w:val="00F357FF"/>
    <w:pPr>
      <w:keepNext/>
      <w:keepLines/>
      <w:pageBreakBefore/>
      <w:tabs>
        <w:tab w:val="left" w:pos="360"/>
      </w:tabs>
      <w:spacing w:after="240" w:line="240" w:lineRule="auto"/>
      <w:ind w:left="360" w:hanging="360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Rowheader">
    <w:name w:val="Row header"/>
    <w:basedOn w:val="a"/>
    <w:rsid w:val="00F357FF"/>
    <w:pPr>
      <w:tabs>
        <w:tab w:val="decimal" w:pos="1503"/>
      </w:tabs>
      <w:ind w:left="85" w:right="-56" w:hanging="85"/>
    </w:pPr>
    <w:rPr>
      <w:b/>
    </w:rPr>
  </w:style>
  <w:style w:type="character" w:customStyle="1" w:styleId="RRthousandsChar">
    <w:name w:val="RR thousands Char"/>
    <w:basedOn w:val="a1"/>
    <w:link w:val="RRthousands"/>
    <w:rsid w:val="00F357FF"/>
    <w:rPr>
      <w:rFonts w:ascii="Arial" w:eastAsia="Times New Roman" w:hAnsi="Arial" w:cs="Arial"/>
      <w:i/>
      <w:snapToGrid w:val="0"/>
      <w:sz w:val="18"/>
      <w:szCs w:val="20"/>
      <w:lang w:val="en-GB" w:eastAsia="ru-RU"/>
    </w:rPr>
  </w:style>
  <w:style w:type="paragraph" w:styleId="a4">
    <w:name w:val="No Spacing"/>
    <w:uiPriority w:val="1"/>
    <w:qFormat/>
    <w:rsid w:val="00F357FF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ABCTitle">
    <w:name w:val="ABC Title"/>
    <w:basedOn w:val="2"/>
    <w:rsid w:val="00F357FF"/>
    <w:pPr>
      <w:keepLines w:val="0"/>
      <w:tabs>
        <w:tab w:val="left" w:pos="2268"/>
      </w:tabs>
      <w:spacing w:before="60"/>
      <w:outlineLvl w:val="9"/>
    </w:pPr>
    <w:rPr>
      <w:rFonts w:ascii="Arial" w:eastAsia="Times New Roman" w:hAnsi="Arial" w:cs="Times New Roman"/>
      <w:bCs w:val="0"/>
      <w:smallCaps/>
      <w:color w:val="auto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F35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a0">
    <w:name w:val="Body Text"/>
    <w:basedOn w:val="a"/>
    <w:link w:val="a5"/>
    <w:uiPriority w:val="99"/>
    <w:semiHidden/>
    <w:unhideWhenUsed/>
    <w:rsid w:val="00F357F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F357FF"/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</dc:creator>
  <cp:keywords/>
  <dc:description/>
  <cp:lastModifiedBy>fund</cp:lastModifiedBy>
  <cp:revision>2</cp:revision>
  <dcterms:created xsi:type="dcterms:W3CDTF">2012-06-01T11:06:00Z</dcterms:created>
  <dcterms:modified xsi:type="dcterms:W3CDTF">2012-06-01T11:06:00Z</dcterms:modified>
</cp:coreProperties>
</file>