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D" w:rsidRPr="009A3359" w:rsidRDefault="00AC08FD" w:rsidP="00AC08FD">
      <w:pPr>
        <w:pStyle w:val="1"/>
        <w:keepNext w:val="0"/>
        <w:numPr>
          <w:ilvl w:val="0"/>
          <w:numId w:val="0"/>
        </w:numPr>
        <w:spacing w:before="360"/>
        <w:ind w:left="360"/>
        <w:rPr>
          <w:szCs w:val="24"/>
          <w:lang w:val="ru-RU"/>
        </w:rPr>
      </w:pPr>
      <w:bookmarkStart w:id="0" w:name="_Toc301456297"/>
      <w:r w:rsidRPr="009A3359">
        <w:rPr>
          <w:szCs w:val="24"/>
          <w:lang w:val="ru-RU"/>
        </w:rPr>
        <w:t>Операции со связанными сторонами</w:t>
      </w:r>
      <w:bookmarkEnd w:id="0"/>
    </w:p>
    <w:p w:rsidR="00AC08FD" w:rsidRPr="009A3359" w:rsidRDefault="00AC08FD" w:rsidP="00AC08FD">
      <w:pPr>
        <w:pStyle w:val="ABC-paragrahinNotes"/>
        <w:rPr>
          <w:szCs w:val="24"/>
          <w:lang w:val="ru-RU"/>
        </w:rPr>
      </w:pPr>
      <w:r w:rsidRPr="009A3359">
        <w:rPr>
          <w:sz w:val="18"/>
          <w:szCs w:val="24"/>
          <w:lang w:val="ru-RU"/>
        </w:rPr>
        <w:t xml:space="preserve">Ниже указаны остатки на 30 июня 2011 года по операциям со связанными сторонами: 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780"/>
        <w:gridCol w:w="1440"/>
        <w:gridCol w:w="1530"/>
        <w:gridCol w:w="1260"/>
        <w:gridCol w:w="1350"/>
      </w:tblGrid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80" w:type="dxa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RRthousands"/>
              <w:keepNext/>
              <w:rPr>
                <w:rFonts w:cs="Times New Roman"/>
                <w:szCs w:val="24"/>
                <w:lang w:val="ru-RU"/>
              </w:rPr>
            </w:pPr>
            <w:r w:rsidRPr="009A3359">
              <w:rPr>
                <w:rFonts w:cs="Times New Roman"/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AC08FD" w:rsidRPr="005F32BD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-29" w:hanging="28"/>
              <w:jc w:val="right"/>
              <w:rPr>
                <w:sz w:val="16"/>
                <w:szCs w:val="16"/>
                <w:lang w:val="ru-RU"/>
              </w:rPr>
            </w:pPr>
            <w:r w:rsidRPr="005F32BD">
              <w:rPr>
                <w:sz w:val="16"/>
                <w:szCs w:val="16"/>
                <w:lang w:val="ru-RU"/>
              </w:rPr>
              <w:t>Материнская компания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AC08FD" w:rsidRPr="005F32BD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sz w:val="16"/>
                <w:szCs w:val="16"/>
                <w:lang w:val="ru-RU"/>
              </w:rPr>
            </w:pPr>
            <w:r w:rsidRPr="005F32BD">
              <w:rPr>
                <w:sz w:val="16"/>
                <w:szCs w:val="16"/>
                <w:lang w:val="ru-RU"/>
              </w:rPr>
              <w:t>Компании под общим контролем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AC08FD" w:rsidRPr="005F32BD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-29" w:hanging="28"/>
              <w:jc w:val="right"/>
              <w:rPr>
                <w:sz w:val="16"/>
                <w:szCs w:val="16"/>
                <w:lang w:val="ru-RU"/>
              </w:rPr>
            </w:pPr>
            <w:r w:rsidRPr="005F32BD">
              <w:rPr>
                <w:sz w:val="16"/>
                <w:szCs w:val="16"/>
                <w:lang w:val="ru-RU"/>
              </w:rPr>
              <w:t>Ассоциированные компании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AC08FD" w:rsidRPr="005F32BD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sz w:val="16"/>
                <w:szCs w:val="16"/>
                <w:lang w:val="ru-RU"/>
              </w:rPr>
            </w:pPr>
            <w:r w:rsidRPr="005F32BD">
              <w:rPr>
                <w:sz w:val="16"/>
                <w:szCs w:val="16"/>
                <w:lang w:val="ru-RU"/>
              </w:rPr>
              <w:t>Прочие связанные стороны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795"/>
              </w:tabs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795"/>
              </w:tabs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795"/>
              </w:tabs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795"/>
              </w:tabs>
              <w:ind w:right="-45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Денежные средства и их эквиваленты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8,687,221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</w:t>
            </w:r>
            <w:r w:rsidRPr="009A3359">
              <w:rPr>
                <w:szCs w:val="24"/>
                <w:lang w:val="ru-RU"/>
              </w:rPr>
              <w:t>енные бумаги, отражаемые по справедливой стоимости на счете прибылей и убытков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1,858,087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  <w:r>
              <w:t xml:space="preserve"> 6,883,378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 xml:space="preserve">Средства в финансовых учреждениях 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66,609,305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Инвестиционные ценные бумаги, имеющиеся в наличии для продажи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3,771,415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Инвестиции в ассоциированные компании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10,000 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Заемные средства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t xml:space="preserve"> 122,022,010 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2,005,000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  <w:r>
              <w:t xml:space="preserve"> 4,124,147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ind w:left="34" w:hanging="34"/>
              <w:rPr>
                <w:szCs w:val="24"/>
                <w:lang w:val="ru-RU"/>
              </w:rPr>
            </w:pPr>
            <w:r w:rsidRPr="003129FA">
              <w:rPr>
                <w:szCs w:val="24"/>
                <w:lang w:val="ru-RU"/>
              </w:rPr>
              <w:t>Обязательства по программам субсидирования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  <w:r>
              <w:t xml:space="preserve"> 6,434,580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ind w:left="0" w:firstLine="0"/>
              <w:rPr>
                <w:szCs w:val="24"/>
                <w:lang w:val="ru-RU"/>
              </w:rPr>
            </w:pPr>
            <w:proofErr w:type="spellStart"/>
            <w:r w:rsidRPr="009A3359">
              <w:rPr>
                <w:szCs w:val="24"/>
                <w:lang w:val="ru-RU"/>
              </w:rPr>
              <w:t>Субординированный</w:t>
            </w:r>
            <w:proofErr w:type="spellEnd"/>
            <w:r w:rsidRPr="009A3359">
              <w:rPr>
                <w:szCs w:val="24"/>
                <w:lang w:val="ru-RU"/>
              </w:rPr>
              <w:t xml:space="preserve"> долг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t xml:space="preserve"> 13,227,500 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C08FD" w:rsidRPr="009A3359" w:rsidRDefault="00AC08FD" w:rsidP="00DE6DCB">
            <w:pPr>
              <w:pStyle w:val="Tabletext"/>
              <w:ind w:left="0" w:firstLine="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Прочие обязательства</w:t>
            </w:r>
          </w:p>
        </w:tc>
        <w:tc>
          <w:tcPr>
            <w:tcW w:w="144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3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t xml:space="preserve"> 46,784 </w:t>
            </w:r>
          </w:p>
        </w:tc>
        <w:tc>
          <w:tcPr>
            <w:tcW w:w="126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14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35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204"/>
              </w:tabs>
              <w:spacing w:line="226" w:lineRule="auto"/>
              <w:rPr>
                <w:rFonts w:cs="Arial"/>
                <w:szCs w:val="18"/>
                <w:lang w:val="ru-RU"/>
              </w:rPr>
            </w:pPr>
            <w:r>
              <w:t xml:space="preserve"> 86,876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780" w:type="dxa"/>
            <w:tcBorders>
              <w:bottom w:val="single" w:sz="12" w:space="0" w:color="auto"/>
            </w:tcBorders>
          </w:tcPr>
          <w:p w:rsidR="00AC08FD" w:rsidRPr="009A3359" w:rsidRDefault="00AC08FD" w:rsidP="00DE6DC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32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</w:tr>
    </w:tbl>
    <w:p w:rsidR="00AC08FD" w:rsidRPr="009A3359" w:rsidRDefault="00AC08FD" w:rsidP="00AC08FD">
      <w:pPr>
        <w:rPr>
          <w:rFonts w:cs="Arial"/>
          <w:lang w:val="ru-RU"/>
        </w:rPr>
      </w:pPr>
    </w:p>
    <w:p w:rsidR="00AC08FD" w:rsidRPr="009A3359" w:rsidRDefault="00AC08FD" w:rsidP="00AC08FD">
      <w:pPr>
        <w:rPr>
          <w:rFonts w:cs="Arial"/>
          <w:lang w:val="ru-RU"/>
        </w:rPr>
      </w:pPr>
    </w:p>
    <w:p w:rsidR="00AC08FD" w:rsidRPr="009A3359" w:rsidRDefault="00AC08FD" w:rsidP="00AC08FD">
      <w:pPr>
        <w:rPr>
          <w:rFonts w:cs="Arial"/>
          <w:lang w:val="ru-RU"/>
        </w:rPr>
      </w:pPr>
    </w:p>
    <w:p w:rsidR="00AC08FD" w:rsidRPr="009A3359" w:rsidRDefault="00AC08FD" w:rsidP="00AC08FD">
      <w:pPr>
        <w:jc w:val="both"/>
        <w:rPr>
          <w:szCs w:val="24"/>
          <w:lang w:val="ru-RU"/>
        </w:rPr>
      </w:pPr>
      <w:r w:rsidRPr="009A3359">
        <w:rPr>
          <w:szCs w:val="24"/>
          <w:lang w:val="ru-RU"/>
        </w:rPr>
        <w:t xml:space="preserve">Ниже указаны статьи доходов и расходов по операциям со связанными сторонами за шесть месяцев, закончившиеся 30 июня 2011 года: </w:t>
      </w:r>
    </w:p>
    <w:p w:rsidR="00AC08FD" w:rsidRPr="009A3359" w:rsidRDefault="00AC08FD" w:rsidP="00AC08FD">
      <w:pPr>
        <w:rPr>
          <w:rFonts w:cs="Arial"/>
          <w:lang w:val="ru-RU"/>
        </w:rPr>
      </w:pP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760"/>
        <w:gridCol w:w="1800"/>
        <w:gridCol w:w="1800"/>
      </w:tblGrid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keepLines/>
              <w:ind w:left="112" w:hanging="140"/>
              <w:rPr>
                <w:szCs w:val="24"/>
                <w:lang w:val="ru-RU"/>
              </w:rPr>
            </w:pPr>
            <w:r w:rsidRPr="009A3359">
              <w:rPr>
                <w:i/>
                <w:sz w:val="16"/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Материнская компания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Компании под общим контролем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keepNext/>
              <w:keepLines/>
              <w:ind w:left="112" w:hanging="14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-29" w:hanging="2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-29" w:hanging="28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Процентные доходы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3,512,038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Процентные расходы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C7659B">
              <w:rPr>
                <w:b w:val="0"/>
                <w:lang w:val="ru-RU"/>
              </w:rPr>
              <w:t xml:space="preserve"> (4,565,171)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(132,802)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Восстановление обесценения 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(2,713)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Дивиденды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C7659B">
              <w:rPr>
                <w:b w:val="0"/>
                <w:lang w:val="ru-RU"/>
              </w:rPr>
              <w:t xml:space="preserve"> (2,107,439)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9A3359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Доходы за вычетом расходов по ценным бумагам, имеющимся в наличии для продажи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(110,280)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Доходы за вычетом расходов по операциям с ценными бумагами, отражаемыми по справедливой стоимости на счете прибылей и убытков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30,690 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Tabletext"/>
              <w:ind w:left="112" w:hanging="14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 xml:space="preserve">Прочие операционные доходы 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>69,101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C08FD" w:rsidRPr="009A3359" w:rsidRDefault="00AC08FD" w:rsidP="00DE6DCB">
            <w:pPr>
              <w:pStyle w:val="ABCTitle"/>
              <w:spacing w:before="0"/>
              <w:ind w:left="112" w:hanging="140"/>
              <w:rPr>
                <w:szCs w:val="24"/>
                <w:lang w:val="ru-RU"/>
              </w:rPr>
            </w:pPr>
            <w:r w:rsidRPr="009A3359">
              <w:rPr>
                <w:b w:val="0"/>
                <w:smallCaps w:val="0"/>
                <w:sz w:val="18"/>
                <w:szCs w:val="24"/>
                <w:lang w:val="ru-RU"/>
              </w:rPr>
              <w:t xml:space="preserve">Административные и прочие операционные расходы 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  <w:tab w:val="decimal" w:pos="1654"/>
              </w:tabs>
              <w:spacing w:line="240" w:lineRule="auto"/>
              <w:ind w:right="-58" w:hanging="28"/>
              <w:rPr>
                <w:rFonts w:cs="Arial"/>
                <w:b w:val="0"/>
                <w:szCs w:val="18"/>
                <w:lang w:val="ru-RU"/>
              </w:rPr>
            </w:pPr>
            <w:r w:rsidRPr="009A3359">
              <w:rPr>
                <w:rFonts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65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C7659B">
              <w:rPr>
                <w:lang w:val="ru-RU"/>
              </w:rPr>
              <w:t xml:space="preserve"> (39,092)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</w:tcPr>
          <w:p w:rsidR="00AC08FD" w:rsidRPr="009A3359" w:rsidRDefault="00AC08FD" w:rsidP="00DE6DCB">
            <w:pPr>
              <w:pStyle w:val="ABCTitle"/>
              <w:spacing w:before="0"/>
              <w:ind w:left="112" w:hanging="140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-29" w:hanging="28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AC08FD" w:rsidRPr="009A3359" w:rsidRDefault="00AC08FD" w:rsidP="00AC08FD">
      <w:pPr>
        <w:pStyle w:val="ABC-paragrahinNotes"/>
        <w:spacing w:before="240"/>
        <w:rPr>
          <w:sz w:val="18"/>
          <w:szCs w:val="24"/>
          <w:lang w:val="ru-RU"/>
        </w:rPr>
      </w:pPr>
      <w:r w:rsidRPr="009A3359">
        <w:rPr>
          <w:sz w:val="18"/>
          <w:szCs w:val="24"/>
          <w:lang w:val="ru-RU"/>
        </w:rPr>
        <w:t>Ниже представлены совокупные суммы предоставленных и погашенных сре</w:t>
      </w:r>
      <w:proofErr w:type="gramStart"/>
      <w:r w:rsidRPr="009A3359">
        <w:rPr>
          <w:sz w:val="18"/>
          <w:szCs w:val="24"/>
          <w:lang w:val="ru-RU"/>
        </w:rPr>
        <w:t>дств св</w:t>
      </w:r>
      <w:proofErr w:type="gramEnd"/>
      <w:r w:rsidRPr="009A3359">
        <w:rPr>
          <w:sz w:val="18"/>
          <w:szCs w:val="24"/>
          <w:lang w:val="ru-RU"/>
        </w:rPr>
        <w:t xml:space="preserve">язанными сторонами в течение шести месяцев, закончившихся 30 июня 2011 года: 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760"/>
        <w:gridCol w:w="1620"/>
        <w:gridCol w:w="90"/>
        <w:gridCol w:w="1890"/>
      </w:tblGrid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2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keepLines/>
              <w:spacing w:line="220" w:lineRule="auto"/>
              <w:ind w:left="228" w:hanging="228"/>
              <w:rPr>
                <w:szCs w:val="24"/>
                <w:lang w:val="ru-RU"/>
              </w:rPr>
            </w:pPr>
            <w:r w:rsidRPr="009A3359">
              <w:rPr>
                <w:i/>
                <w:sz w:val="16"/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Прочие связанные стороны</w:t>
            </w: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7380" w:type="dxa"/>
            <w:gridSpan w:val="2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Rowheader"/>
              <w:keepLines/>
              <w:spacing w:line="226" w:lineRule="auto"/>
              <w:rPr>
                <w:rFonts w:cs="Arial"/>
                <w:b w:val="0"/>
                <w:szCs w:val="1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819"/>
              </w:tabs>
              <w:spacing w:line="226" w:lineRule="auto"/>
              <w:ind w:right="-45"/>
              <w:rPr>
                <w:rFonts w:cs="Arial"/>
                <w:bCs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2"/>
            <w:vAlign w:val="bottom"/>
          </w:tcPr>
          <w:p w:rsidR="00AC08FD" w:rsidRPr="009A3359" w:rsidRDefault="00AC08FD" w:rsidP="00DE6DCB">
            <w:pPr>
              <w:pStyle w:val="Rowheader"/>
              <w:keepLines/>
              <w:spacing w:line="220" w:lineRule="auto"/>
              <w:rPr>
                <w:szCs w:val="24"/>
                <w:lang w:val="ru-RU"/>
              </w:rPr>
            </w:pPr>
            <w:r w:rsidRPr="009A3359">
              <w:rPr>
                <w:b w:val="0"/>
                <w:szCs w:val="24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980" w:type="dxa"/>
            <w:gridSpan w:val="2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868"/>
              </w:tabs>
              <w:rPr>
                <w:lang w:val="ru-RU"/>
              </w:rPr>
            </w:pPr>
            <w:bookmarkStart w:id="1" w:name="_1374307768"/>
            <w:r w:rsidRPr="00FC4F30">
              <w:rPr>
                <w:lang w:val="ru-RU"/>
              </w:rPr>
              <w:t xml:space="preserve"> </w:t>
            </w:r>
            <w:r>
              <w:t xml:space="preserve">3,741,455 </w:t>
            </w:r>
            <w:bookmarkEnd w:id="1"/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2"/>
            <w:vAlign w:val="bottom"/>
          </w:tcPr>
          <w:p w:rsidR="00AC08FD" w:rsidRPr="009A3359" w:rsidRDefault="00AC08FD" w:rsidP="00DE6DCB">
            <w:pPr>
              <w:pStyle w:val="Rowheader"/>
              <w:keepLines/>
              <w:spacing w:line="220" w:lineRule="auto"/>
              <w:rPr>
                <w:szCs w:val="24"/>
                <w:lang w:val="ru-RU"/>
              </w:rPr>
            </w:pPr>
            <w:r w:rsidRPr="009A3359">
              <w:rPr>
                <w:b w:val="0"/>
                <w:szCs w:val="24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980" w:type="dxa"/>
            <w:gridSpan w:val="2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868"/>
              </w:tabs>
              <w:rPr>
                <w:lang w:val="ru-RU"/>
              </w:rPr>
            </w:pPr>
            <w:bookmarkStart w:id="2" w:name="_1374307767"/>
            <w:r w:rsidRPr="00FC4F30">
              <w:rPr>
                <w:lang w:val="ru-RU"/>
              </w:rPr>
              <w:t xml:space="preserve"> </w:t>
            </w:r>
            <w:r>
              <w:t xml:space="preserve">11,036,045 </w:t>
            </w:r>
            <w:bookmarkEnd w:id="2"/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80" w:type="dxa"/>
            <w:gridSpan w:val="2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keepLines/>
              <w:spacing w:line="226" w:lineRule="auto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819"/>
              </w:tabs>
              <w:spacing w:line="226" w:lineRule="auto"/>
              <w:ind w:right="-45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</w:tcPr>
          <w:p w:rsidR="00AC08FD" w:rsidRPr="009A3359" w:rsidRDefault="00AC08FD" w:rsidP="00AC08FD">
            <w:pPr>
              <w:spacing w:after="200" w:line="276" w:lineRule="auto"/>
              <w:rPr>
                <w:rFonts w:cs="Arial"/>
                <w:b/>
                <w:smallCaps/>
                <w:szCs w:val="18"/>
                <w:lang w:val="ru-RU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rFonts w:cs="Arial"/>
                <w:b w:val="0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DE6DC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760" w:type="dxa"/>
            <w:tcBorders>
              <w:top w:val="single" w:sz="12" w:space="0" w:color="auto"/>
            </w:tcBorders>
          </w:tcPr>
          <w:p w:rsidR="00AC08FD" w:rsidRPr="009A3359" w:rsidRDefault="00AC08FD" w:rsidP="00DE6DCB">
            <w:pPr>
              <w:pStyle w:val="ABCTitle"/>
              <w:spacing w:before="0"/>
              <w:ind w:left="112" w:hanging="140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1418"/>
              </w:tabs>
              <w:rPr>
                <w:rFonts w:cs="Arial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</w:tr>
    </w:tbl>
    <w:p w:rsidR="00AC08FD" w:rsidRPr="009A3359" w:rsidRDefault="00AC08FD" w:rsidP="00AC08FD">
      <w:pPr>
        <w:pStyle w:val="ABC-paragrahinNotes"/>
        <w:spacing w:before="240" w:after="0"/>
        <w:rPr>
          <w:sz w:val="18"/>
          <w:szCs w:val="24"/>
          <w:lang w:val="ru-RU"/>
        </w:rPr>
      </w:pPr>
      <w:r w:rsidRPr="009A3359">
        <w:rPr>
          <w:sz w:val="18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p w:rsidR="00AC08FD" w:rsidRPr="009A3359" w:rsidRDefault="00AC08FD" w:rsidP="00AC08FD">
      <w:pPr>
        <w:pStyle w:val="ABC-paragrahinNotes"/>
        <w:spacing w:after="0"/>
        <w:rPr>
          <w:lang w:val="ru-RU"/>
        </w:rPr>
      </w:pPr>
    </w:p>
    <w:tbl>
      <w:tblPr>
        <w:tblW w:w="6861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53"/>
        <w:gridCol w:w="1304"/>
        <w:gridCol w:w="1304"/>
        <w:tblGridChange w:id="3">
          <w:tblGrid>
            <w:gridCol w:w="4253"/>
            <w:gridCol w:w="1304"/>
            <w:gridCol w:w="1304"/>
          </w:tblGrid>
        </w:tblGridChange>
      </w:tblGrid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RRthousands"/>
              <w:keepNext/>
              <w:keepLines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before="40" w:line="240" w:lineRule="auto"/>
              <w:ind w:right="41"/>
              <w:jc w:val="center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 xml:space="preserve">Шесть месяцев, закончившиеся </w:t>
            </w:r>
            <w:r w:rsidRPr="009A3359">
              <w:rPr>
                <w:szCs w:val="24"/>
                <w:lang w:val="ru-RU"/>
              </w:rPr>
              <w:br/>
              <w:t>30 июня 2011г.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RRthousands"/>
              <w:keepNext/>
              <w:keepLines/>
              <w:ind w:left="0" w:firstLine="0"/>
              <w:rPr>
                <w:rFonts w:cs="Times New Roman"/>
                <w:szCs w:val="24"/>
                <w:lang w:val="ru-RU"/>
              </w:rPr>
            </w:pPr>
            <w:r w:rsidRPr="009A3359">
              <w:rPr>
                <w:rFonts w:cs="Times New Roman"/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before="40" w:line="240" w:lineRule="auto"/>
              <w:ind w:right="41"/>
              <w:jc w:val="right"/>
              <w:rPr>
                <w:sz w:val="16"/>
                <w:szCs w:val="16"/>
                <w:lang w:val="ru-RU"/>
              </w:rPr>
            </w:pPr>
            <w:r w:rsidRPr="009A3359">
              <w:rPr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</w:tcPr>
          <w:p w:rsidR="00AC08FD" w:rsidRPr="009A3359" w:rsidRDefault="00AC08FD" w:rsidP="00DE6DCB">
            <w:pPr>
              <w:pStyle w:val="Columnheader"/>
              <w:keepNext/>
              <w:keepLines/>
              <w:tabs>
                <w:tab w:val="clear" w:pos="1503"/>
              </w:tabs>
              <w:spacing w:before="40" w:line="240" w:lineRule="auto"/>
              <w:ind w:right="41"/>
              <w:jc w:val="right"/>
              <w:rPr>
                <w:sz w:val="16"/>
                <w:szCs w:val="16"/>
                <w:lang w:val="ru-RU"/>
              </w:rPr>
            </w:pPr>
            <w:r w:rsidRPr="009A3359">
              <w:rPr>
                <w:sz w:val="16"/>
                <w:szCs w:val="16"/>
                <w:lang w:val="ru-RU"/>
              </w:rPr>
              <w:t xml:space="preserve">Начисленное </w:t>
            </w:r>
            <w:proofErr w:type="spellStart"/>
            <w:proofErr w:type="gramStart"/>
            <w:r w:rsidRPr="009A3359">
              <w:rPr>
                <w:sz w:val="16"/>
                <w:szCs w:val="16"/>
                <w:lang w:val="ru-RU"/>
              </w:rPr>
              <w:t>обязатель-ство</w:t>
            </w:r>
            <w:proofErr w:type="spellEnd"/>
            <w:proofErr w:type="gramEnd"/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</w:tcPr>
          <w:p w:rsidR="00AC08FD" w:rsidRPr="009A3359" w:rsidRDefault="00AC08FD" w:rsidP="00DE6DCB">
            <w:pPr>
              <w:keepNext/>
              <w:keepLines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i/>
                <w:szCs w:val="24"/>
                <w:lang w:val="ru-RU"/>
              </w:rPr>
              <w:t>Краткосрочные выплаты: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- Заработная плата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lang w:val="ru-RU"/>
              </w:rPr>
            </w:pPr>
            <w:r w:rsidRPr="009A3359">
              <w:rPr>
                <w:lang w:val="ru-RU"/>
              </w:rPr>
              <w:t xml:space="preserve"> 20,675 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lang w:val="ru-RU"/>
              </w:rPr>
            </w:pPr>
            <w:r w:rsidRPr="009A3359">
              <w:rPr>
                <w:lang w:val="ru-RU"/>
              </w:rPr>
              <w:t xml:space="preserve"> 1,615 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>- Краткосрочные премиальные выплаты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lang w:val="ru-RU"/>
              </w:rPr>
            </w:pPr>
            <w:bookmarkStart w:id="4" w:name="_1374331045"/>
            <w:r w:rsidRPr="009A3359">
              <w:rPr>
                <w:lang w:val="ru-RU"/>
              </w:rPr>
              <w:t xml:space="preserve"> 220 </w:t>
            </w:r>
            <w:bookmarkEnd w:id="4"/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rFonts w:cs="Arial"/>
                <w:szCs w:val="18"/>
                <w:lang w:val="ru-RU"/>
              </w:rPr>
            </w:pPr>
            <w:r w:rsidRPr="009A3359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Tabletext"/>
              <w:ind w:left="0" w:firstLine="0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 xml:space="preserve">- Прочие выплаты денежными средствами 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lang w:val="ru-RU"/>
              </w:rPr>
            </w:pPr>
            <w:r w:rsidRPr="009A3359">
              <w:rPr>
                <w:lang w:val="ru-RU"/>
              </w:rPr>
              <w:t xml:space="preserve"> 1,747 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rFonts w:cs="Arial"/>
                <w:szCs w:val="18"/>
                <w:lang w:val="ru-RU"/>
              </w:rPr>
            </w:pPr>
            <w:r w:rsidRPr="009A3359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vAlign w:val="bottom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szCs w:val="24"/>
                <w:lang w:val="ru-RU"/>
              </w:rPr>
              <w:t xml:space="preserve">- Выплаты в </w:t>
            </w:r>
            <w:proofErr w:type="spellStart"/>
            <w:r w:rsidRPr="009A3359">
              <w:rPr>
                <w:szCs w:val="24"/>
                <w:lang w:val="ru-RU"/>
              </w:rPr>
              <w:t>неденежной</w:t>
            </w:r>
            <w:proofErr w:type="spellEnd"/>
            <w:r w:rsidRPr="009A3359">
              <w:rPr>
                <w:szCs w:val="24"/>
                <w:lang w:val="ru-RU"/>
              </w:rPr>
              <w:t xml:space="preserve"> форме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rFonts w:cs="Arial"/>
                <w:szCs w:val="18"/>
                <w:lang w:val="ru-RU"/>
              </w:rPr>
            </w:pPr>
            <w:r w:rsidRPr="009A3359">
              <w:rPr>
                <w:rFonts w:cs="Arial"/>
                <w:szCs w:val="18"/>
                <w:lang w:val="ru-RU"/>
              </w:rPr>
              <w:t>499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rFonts w:cs="Arial"/>
                <w:szCs w:val="18"/>
                <w:lang w:val="ru-RU"/>
              </w:rPr>
            </w:pPr>
            <w:r w:rsidRPr="009A3359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253" w:type="dxa"/>
            <w:tcBorders>
              <w:bottom w:val="single" w:sz="6" w:space="0" w:color="auto"/>
            </w:tcBorders>
          </w:tcPr>
          <w:p w:rsidR="00AC08FD" w:rsidRPr="009A3359" w:rsidRDefault="00AC08FD" w:rsidP="00DE6DC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</w:tcPr>
          <w:p w:rsidR="00AC08FD" w:rsidRPr="009A3359" w:rsidRDefault="00AC08FD" w:rsidP="00DE6DC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3" w:type="dxa"/>
          </w:tcPr>
          <w:p w:rsidR="00AC08FD" w:rsidRPr="009A3359" w:rsidRDefault="00AC08FD" w:rsidP="00DE6DCB">
            <w:pPr>
              <w:pStyle w:val="Tabletext"/>
              <w:rPr>
                <w:szCs w:val="24"/>
                <w:lang w:val="ru-RU"/>
              </w:rPr>
            </w:pPr>
            <w:r w:rsidRPr="009A3359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81"/>
              </w:tabs>
              <w:ind w:right="-28"/>
              <w:rPr>
                <w:lang w:val="ru-RU"/>
              </w:rPr>
            </w:pPr>
            <w:r w:rsidRPr="009A3359">
              <w:rPr>
                <w:b/>
                <w:lang w:val="ru-RU"/>
              </w:rPr>
              <w:t xml:space="preserve"> 23,141 </w:t>
            </w:r>
          </w:p>
        </w:tc>
        <w:tc>
          <w:tcPr>
            <w:tcW w:w="1304" w:type="dxa"/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37"/>
              </w:tabs>
              <w:ind w:right="-28"/>
              <w:rPr>
                <w:lang w:val="ru-RU"/>
              </w:rPr>
            </w:pPr>
            <w:r w:rsidRPr="009A3359">
              <w:rPr>
                <w:b/>
                <w:lang w:val="ru-RU"/>
              </w:rPr>
              <w:t xml:space="preserve"> 1,615 </w:t>
            </w:r>
          </w:p>
        </w:tc>
      </w:tr>
      <w:tr w:rsidR="00AC08FD" w:rsidRPr="009A3359" w:rsidTr="00AC08FD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253" w:type="dxa"/>
            <w:tcBorders>
              <w:bottom w:val="single" w:sz="12" w:space="0" w:color="auto"/>
            </w:tcBorders>
          </w:tcPr>
          <w:p w:rsidR="00AC08FD" w:rsidRPr="009A3359" w:rsidRDefault="00AC08FD" w:rsidP="00DE6DCB">
            <w:pPr>
              <w:pStyle w:val="Tabletext"/>
              <w:keepNext/>
              <w:keepLines/>
              <w:ind w:left="0" w:firstLine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bottom"/>
          </w:tcPr>
          <w:p w:rsidR="00AC08FD" w:rsidRPr="009A3359" w:rsidRDefault="00AC08FD" w:rsidP="00DE6DC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</w:tbl>
    <w:p w:rsidR="00ED761D" w:rsidRDefault="00ED761D"/>
    <w:sectPr w:rsidR="00ED761D" w:rsidSect="00AC08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333"/>
    <w:multiLevelType w:val="singleLevel"/>
    <w:tmpl w:val="883A828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FD"/>
    <w:rsid w:val="00AC08FD"/>
    <w:rsid w:val="00E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able numbers"/>
    <w:qFormat/>
    <w:rsid w:val="00AC08F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C08FD"/>
    <w:pPr>
      <w:keepNext/>
      <w:numPr>
        <w:numId w:val="1"/>
      </w:numPr>
      <w:spacing w:after="240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8FD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paragraph" w:customStyle="1" w:styleId="ABCTitle">
    <w:name w:val="ABC Title"/>
    <w:basedOn w:val="2"/>
    <w:rsid w:val="00AC08FD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Cs w:val="0"/>
      <w:smallCaps/>
      <w:color w:val="auto"/>
      <w:sz w:val="20"/>
      <w:szCs w:val="20"/>
      <w:lang w:val="en-US"/>
    </w:rPr>
  </w:style>
  <w:style w:type="paragraph" w:customStyle="1" w:styleId="ABC-paragrahinNotes">
    <w:name w:val="ABC - paragrah in Notes"/>
    <w:link w:val="ABC-paragrahinNotesChar1"/>
    <w:rsid w:val="00AC08FD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tinued">
    <w:name w:val="Continued"/>
    <w:qFormat/>
    <w:rsid w:val="00AC08FD"/>
    <w:pPr>
      <w:keepNext/>
      <w:keepLines/>
      <w:pageBreakBefore/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abletext">
    <w:name w:val="Table text"/>
    <w:basedOn w:val="a"/>
    <w:rsid w:val="00AC08FD"/>
    <w:pPr>
      <w:ind w:left="85" w:hanging="85"/>
    </w:pPr>
  </w:style>
  <w:style w:type="paragraph" w:customStyle="1" w:styleId="Rowheader">
    <w:name w:val="Row header"/>
    <w:basedOn w:val="a"/>
    <w:rsid w:val="00AC08FD"/>
    <w:pPr>
      <w:ind w:left="85" w:hanging="85"/>
    </w:pPr>
    <w:rPr>
      <w:b/>
    </w:rPr>
  </w:style>
  <w:style w:type="paragraph" w:customStyle="1" w:styleId="Columnheader">
    <w:name w:val="Column header"/>
    <w:basedOn w:val="a"/>
    <w:rsid w:val="00AC08FD"/>
    <w:pPr>
      <w:tabs>
        <w:tab w:val="decimal" w:pos="1503"/>
      </w:tabs>
      <w:spacing w:line="228" w:lineRule="auto"/>
      <w:ind w:right="-56"/>
    </w:pPr>
    <w:rPr>
      <w:b/>
    </w:rPr>
  </w:style>
  <w:style w:type="paragraph" w:customStyle="1" w:styleId="Tablenumbers1">
    <w:name w:val="Table numbers1"/>
    <w:rsid w:val="00AC08FD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AC08FD"/>
    <w:pPr>
      <w:ind w:left="86" w:hanging="86"/>
    </w:pPr>
    <w:rPr>
      <w:rFonts w:cs="Arial"/>
      <w:i/>
      <w:sz w:val="16"/>
    </w:rPr>
  </w:style>
  <w:style w:type="character" w:customStyle="1" w:styleId="RRthousandsChar">
    <w:name w:val="RR thousands Char"/>
    <w:basedOn w:val="a0"/>
    <w:link w:val="RRthousands"/>
    <w:rsid w:val="00AC08FD"/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ABC-paragrahinNotesChar1">
    <w:name w:val="ABC - paragrah in Notes Char1"/>
    <w:basedOn w:val="a0"/>
    <w:link w:val="ABC-paragrahinNotes"/>
    <w:rsid w:val="00AC08FD"/>
    <w:rPr>
      <w:rFonts w:ascii="Arial" w:eastAsia="Times New Roman" w:hAnsi="Arial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08F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AC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1978</Characters>
  <Application>Microsoft Office Word</Application>
  <DocSecurity>0</DocSecurity>
  <Lines>16</Lines>
  <Paragraphs>4</Paragraphs>
  <ScaleCrop>false</ScaleCrop>
  <Company>fund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2</cp:revision>
  <dcterms:created xsi:type="dcterms:W3CDTF">2011-08-25T04:44:00Z</dcterms:created>
  <dcterms:modified xsi:type="dcterms:W3CDTF">2011-08-25T04:49:00Z</dcterms:modified>
</cp:coreProperties>
</file>